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72" w:name="_GoBack"/>
      <w:bookmarkEnd w:id="72"/>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50"/>
          <w:szCs w:val="50"/>
          <w:highlight w:val="none"/>
        </w:rPr>
      </w:pPr>
      <w:bookmarkStart w:id="1" w:name="_Toc15378441"/>
      <w:bookmarkStart w:id="2" w:name="_Toc15377193"/>
      <w:bookmarkStart w:id="3" w:name="_Toc15396597"/>
      <w:bookmarkStart w:id="4" w:name="_Toc15396475"/>
      <w:bookmarkStart w:id="5" w:name="_Toc15377425"/>
      <w:r>
        <w:rPr>
          <w:rFonts w:hint="eastAsia" w:ascii="方正小标宋简体" w:hAnsi="方正小标宋简体" w:eastAsia="方正小标宋简体" w:cs="方正小标宋简体"/>
          <w:color w:val="auto"/>
          <w:sz w:val="50"/>
          <w:szCs w:val="50"/>
          <w:highlight w:val="none"/>
        </w:rPr>
        <w:t>20</w:t>
      </w:r>
      <w:r>
        <w:rPr>
          <w:rFonts w:hint="eastAsia" w:ascii="方正小标宋简体" w:hAnsi="方正小标宋简体" w:eastAsia="方正小标宋简体" w:cs="方正小标宋简体"/>
          <w:color w:val="auto"/>
          <w:sz w:val="50"/>
          <w:szCs w:val="50"/>
          <w:highlight w:val="none"/>
          <w:lang w:val="en-US" w:eastAsia="zh-CN"/>
        </w:rPr>
        <w:t>21</w:t>
      </w:r>
      <w:r>
        <w:rPr>
          <w:rFonts w:hint="eastAsia" w:ascii="方正小标宋简体" w:hAnsi="方正小标宋简体" w:eastAsia="方正小标宋简体" w:cs="方正小标宋简体"/>
          <w:color w:val="auto"/>
          <w:sz w:val="50"/>
          <w:szCs w:val="50"/>
          <w:highlight w:val="none"/>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50"/>
          <w:szCs w:val="50"/>
          <w:highlight w:val="none"/>
        </w:rPr>
      </w:pPr>
      <w:bookmarkStart w:id="6" w:name="_Toc15377426"/>
      <w:bookmarkStart w:id="7" w:name="_Toc15396598"/>
      <w:bookmarkStart w:id="8" w:name="_Toc15377194"/>
      <w:bookmarkStart w:id="9" w:name="_Toc15396476"/>
      <w:bookmarkStart w:id="10" w:name="_Toc15378442"/>
      <w:r>
        <w:rPr>
          <w:rFonts w:hint="eastAsia" w:ascii="方正小标宋简体" w:hAnsi="方正小标宋简体" w:eastAsia="方正小标宋简体" w:cs="方正小标宋简体"/>
          <w:color w:val="auto"/>
          <w:sz w:val="50"/>
          <w:szCs w:val="50"/>
          <w:highlight w:val="none"/>
        </w:rPr>
        <w:t>四川省</w:t>
      </w:r>
      <w:bookmarkEnd w:id="0"/>
      <w:bookmarkStart w:id="11" w:name="_Toc15306268"/>
      <w:r>
        <w:rPr>
          <w:rFonts w:hint="eastAsia" w:ascii="方正小标宋简体" w:hAnsi="方正小标宋简体" w:eastAsia="方正小标宋简体" w:cs="方正小标宋简体"/>
          <w:color w:val="auto"/>
          <w:sz w:val="50"/>
          <w:szCs w:val="50"/>
          <w:highlight w:val="none"/>
        </w:rPr>
        <w:t>遂宁市住房和城乡建设事务中心</w:t>
      </w: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50"/>
          <w:szCs w:val="50"/>
          <w:highlight w:val="none"/>
        </w:rPr>
      </w:pPr>
      <w:r>
        <w:rPr>
          <w:rFonts w:hint="eastAsia" w:ascii="方正小标宋简体" w:hAnsi="方正小标宋简体" w:eastAsia="方正小标宋简体" w:cs="方正小标宋简体"/>
          <w:color w:val="auto"/>
          <w:sz w:val="50"/>
          <w:szCs w:val="50"/>
          <w:highlight w:val="none"/>
          <w:lang w:val="en-US" w:eastAsia="zh-CN"/>
        </w:rPr>
        <w:t>部门</w:t>
      </w:r>
      <w:r>
        <w:rPr>
          <w:rFonts w:hint="eastAsia" w:ascii="方正小标宋简体" w:hAnsi="方正小标宋简体" w:eastAsia="方正小标宋简体" w:cs="方正小标宋简体"/>
          <w:color w:val="auto"/>
          <w:sz w:val="50"/>
          <w:szCs w:val="50"/>
          <w:highlight w:val="none"/>
        </w:rPr>
        <w:t>决算</w:t>
      </w:r>
      <w:bookmarkEnd w:id="6"/>
      <w:bookmarkEnd w:id="7"/>
      <w:bookmarkEnd w:id="8"/>
      <w:bookmarkEnd w:id="9"/>
      <w:bookmarkEnd w:id="10"/>
      <w:bookmarkEnd w:id="11"/>
    </w:p>
    <w:p>
      <w:pPr>
        <w:widowControl/>
        <w:jc w:val="center"/>
        <w:rPr>
          <w:rFonts w:hint="eastAsia" w:ascii="黑体" w:hAnsi="黑体" w:eastAsia="黑体"/>
          <w:color w:val="auto"/>
          <w:sz w:val="48"/>
          <w:szCs w:val="48"/>
          <w:highlight w:val="none"/>
        </w:rPr>
        <w:sectPr>
          <w:headerReference r:id="rId3" w:type="default"/>
          <w:footerReference r:id="rId4" w:type="default"/>
          <w:pgSz w:w="11906" w:h="16838"/>
          <w:pgMar w:top="1440" w:right="1576" w:bottom="1327" w:left="1689" w:header="851" w:footer="992" w:gutter="0"/>
          <w:pgNumType w:start="1"/>
          <w:cols w:space="425" w:num="1"/>
          <w:titlePg/>
          <w:docGrid w:type="lines" w:linePitch="312" w:charSpace="0"/>
        </w:sectPr>
      </w:pPr>
    </w:p>
    <w:p>
      <w:pPr>
        <w:widowControl/>
        <w:jc w:val="center"/>
        <w:rPr>
          <w:rFonts w:hint="eastAsia" w:ascii="黑体" w:hAnsi="黑体" w:eastAsia="黑体"/>
          <w:color w:val="auto"/>
          <w:sz w:val="48"/>
          <w:szCs w:val="48"/>
          <w:highlight w:val="none"/>
        </w:rPr>
      </w:pPr>
      <w:r>
        <w:rPr>
          <w:rFonts w:hint="eastAsia" w:ascii="黑体" w:hAnsi="黑体" w:eastAsia="黑体"/>
          <w:color w:val="auto"/>
          <w:sz w:val="48"/>
          <w:szCs w:val="48"/>
          <w:highlight w:val="none"/>
        </w:rPr>
        <w:t>目录</w:t>
      </w:r>
    </w:p>
    <w:p>
      <w:pPr>
        <w:pStyle w:val="11"/>
        <w:rPr>
          <w:rFonts w:ascii="黑体" w:hAnsi="黑体" w:eastAsia="黑体" w:cstheme="minorBidi"/>
          <w:color w:val="auto"/>
          <w:sz w:val="28"/>
          <w:szCs w:val="28"/>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4</w:t>
      </w:r>
      <w:r>
        <w:rPr>
          <w:rFonts w:hint="eastAsia"/>
          <w:color w:val="auto"/>
          <w:highlight w:val="none"/>
        </w:rPr>
        <w:t>日</w:t>
      </w:r>
    </w:p>
    <w:p>
      <w:pPr>
        <w:pStyle w:val="11"/>
        <w:keepNext w:val="0"/>
        <w:keepLines w:val="0"/>
        <w:pageBreakBefore w:val="0"/>
        <w:widowControl w:val="0"/>
        <w:kinsoku/>
        <w:wordWrap/>
        <w:overflowPunct/>
        <w:topLinePunct w:val="0"/>
        <w:autoSpaceDE/>
        <w:autoSpaceDN/>
        <w:bidi w:val="0"/>
        <w:adjustRightInd w:val="0"/>
        <w:snapToGrid w:val="0"/>
        <w:spacing w:before="0" w:line="360" w:lineRule="exact"/>
        <w:jc w:val="distribute"/>
        <w:textAlignment w:val="auto"/>
        <w:rPr>
          <w:rFonts w:hint="default" w:ascii="仿宋" w:hAnsi="仿宋" w:eastAsia="仿宋" w:cs="仿宋"/>
          <w:b/>
          <w:bCs/>
          <w:i w:val="0"/>
          <w:iCs w:val="0"/>
          <w:caps w:val="0"/>
          <w:color w:val="333333"/>
          <w:spacing w:val="0"/>
          <w:kern w:val="0"/>
          <w:sz w:val="28"/>
          <w:szCs w:val="28"/>
          <w:shd w:val="clear" w:fill="FFFFFF"/>
          <w:lang w:val="en-US" w:eastAsia="zh-CN" w:bidi="ar"/>
        </w:rPr>
      </w:pPr>
      <w:r>
        <w:rPr>
          <w:rFonts w:hint="eastAsia" w:ascii="仿宋" w:hAnsi="仿宋" w:eastAsia="仿宋" w:cs="仿宋"/>
          <w:b/>
          <w:bCs/>
          <w:i w:val="0"/>
          <w:iCs w:val="0"/>
          <w:caps w:val="0"/>
          <w:color w:val="333333"/>
          <w:spacing w:val="0"/>
          <w:kern w:val="0"/>
          <w:sz w:val="28"/>
          <w:szCs w:val="28"/>
          <w:shd w:val="clear" w:fill="FFFFFF"/>
          <w:lang w:val="en-US" w:eastAsia="zh-CN" w:bidi="ar"/>
        </w:rPr>
        <w:t>第一部分 单位概况</w:t>
      </w:r>
      <w:r>
        <w:rPr>
          <w:rFonts w:hint="eastAsia" w:cs="仿宋"/>
          <w:b/>
          <w:bCs/>
          <w:i w:val="0"/>
          <w:iCs w:val="0"/>
          <w:caps w:val="0"/>
          <w:color w:val="333333"/>
          <w:spacing w:val="0"/>
          <w:kern w:val="0"/>
          <w:sz w:val="28"/>
          <w:szCs w:val="28"/>
          <w:shd w:val="clear" w:fill="FFFFFF"/>
          <w:lang w:val="en-US" w:eastAsia="zh-CN" w:bidi="ar"/>
        </w:rPr>
        <w:t>………………</w:t>
      </w:r>
      <w:r>
        <w:rPr>
          <w:rFonts w:hint="eastAsia" w:cs="仿宋"/>
          <w:b/>
          <w:bCs/>
          <w:i w:val="0"/>
          <w:iCs w:val="0"/>
          <w:caps w:val="0"/>
          <w:color w:val="333333"/>
          <w:spacing w:val="6"/>
          <w:kern w:val="0"/>
          <w:sz w:val="28"/>
          <w:szCs w:val="28"/>
          <w:shd w:val="clear" w:fill="FFFFFF"/>
          <w:lang w:val="en-US" w:eastAsia="zh-CN" w:bidi="ar"/>
        </w:rPr>
        <w:t>………………………………</w:t>
      </w:r>
      <w:r>
        <w:rPr>
          <w:rFonts w:hint="eastAsia" w:cs="仿宋"/>
          <w:b/>
          <w:bCs/>
          <w:i w:val="0"/>
          <w:iCs w:val="0"/>
          <w:caps w:val="0"/>
          <w:color w:val="333333"/>
          <w:spacing w:val="0"/>
          <w:kern w:val="0"/>
          <w:sz w:val="28"/>
          <w:szCs w:val="28"/>
          <w:shd w:val="clear" w:fill="FFFFFF"/>
          <w:lang w:val="en-US" w:eastAsia="zh-CN" w:bidi="ar"/>
        </w:rPr>
        <w:t>…1</w:t>
      </w:r>
    </w:p>
    <w:p>
      <w:pPr>
        <w:pStyle w:val="12"/>
        <w:keepNext w:val="0"/>
        <w:keepLines w:val="0"/>
        <w:pageBreakBefore w:val="0"/>
        <w:widowControl w:val="0"/>
        <w:kinsoku/>
        <w:wordWrap/>
        <w:overflowPunct/>
        <w:topLinePunct w:val="0"/>
        <w:autoSpaceDE/>
        <w:autoSpaceDN/>
        <w:bidi w:val="0"/>
        <w:adjustRightInd w:val="0"/>
        <w:snapToGrid w:val="0"/>
        <w:spacing w:line="360" w:lineRule="exact"/>
        <w:jc w:val="distribute"/>
        <w:textAlignment w:val="auto"/>
        <w:rPr>
          <w:rFonts w:hint="default"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一、职能简介………………………………………………………1</w:t>
      </w:r>
    </w:p>
    <w:p>
      <w:pPr>
        <w:pStyle w:val="12"/>
        <w:keepNext w:val="0"/>
        <w:keepLines w:val="0"/>
        <w:pageBreakBefore w:val="0"/>
        <w:widowControl w:val="0"/>
        <w:kinsoku/>
        <w:wordWrap/>
        <w:overflowPunct/>
        <w:topLinePunct w:val="0"/>
        <w:autoSpaceDE/>
        <w:autoSpaceDN/>
        <w:bidi w:val="0"/>
        <w:adjustRightInd w:val="0"/>
        <w:snapToGrid w:val="0"/>
        <w:spacing w:line="360" w:lineRule="exact"/>
        <w:jc w:val="distribute"/>
        <w:textAlignment w:val="auto"/>
        <w:rPr>
          <w:rFonts w:hint="default"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二、2021年重点工作完成情况……………………………………2</w:t>
      </w:r>
    </w:p>
    <w:p>
      <w:pPr>
        <w:pStyle w:val="11"/>
        <w:keepNext w:val="0"/>
        <w:keepLines w:val="0"/>
        <w:pageBreakBefore w:val="0"/>
        <w:widowControl w:val="0"/>
        <w:kinsoku/>
        <w:wordWrap/>
        <w:overflowPunct/>
        <w:topLinePunct w:val="0"/>
        <w:autoSpaceDE/>
        <w:autoSpaceDN/>
        <w:bidi w:val="0"/>
        <w:adjustRightInd w:val="0"/>
        <w:snapToGrid w:val="0"/>
        <w:spacing w:before="0" w:line="360" w:lineRule="exact"/>
        <w:jc w:val="distribute"/>
        <w:textAlignment w:val="auto"/>
        <w:rPr>
          <w:rFonts w:hint="default" w:ascii="仿宋" w:hAnsi="仿宋" w:eastAsia="仿宋" w:cs="仿宋"/>
          <w:b/>
          <w:bCs/>
          <w:i w:val="0"/>
          <w:iCs w:val="0"/>
          <w:caps w:val="0"/>
          <w:color w:val="333333"/>
          <w:spacing w:val="0"/>
          <w:kern w:val="0"/>
          <w:sz w:val="28"/>
          <w:szCs w:val="28"/>
          <w:shd w:val="clear" w:fill="FFFFFF"/>
          <w:lang w:val="en-US" w:eastAsia="zh-CN" w:bidi="ar"/>
        </w:rPr>
      </w:pPr>
      <w:r>
        <w:rPr>
          <w:rFonts w:hint="eastAsia" w:ascii="仿宋" w:hAnsi="仿宋" w:eastAsia="仿宋" w:cs="仿宋"/>
          <w:b/>
          <w:bCs/>
          <w:i w:val="0"/>
          <w:iCs w:val="0"/>
          <w:caps w:val="0"/>
          <w:color w:val="333333"/>
          <w:spacing w:val="0"/>
          <w:kern w:val="0"/>
          <w:sz w:val="28"/>
          <w:szCs w:val="28"/>
          <w:shd w:val="clear" w:fill="FFFFFF"/>
          <w:lang w:val="en-US" w:eastAsia="zh-CN" w:bidi="ar"/>
        </w:rPr>
        <w:t>第二部分 2021年度单位决算情况说明</w:t>
      </w:r>
      <w:r>
        <w:rPr>
          <w:rFonts w:hint="eastAsia" w:cs="仿宋"/>
          <w:b/>
          <w:bCs/>
          <w:i w:val="0"/>
          <w:iCs w:val="0"/>
          <w:caps w:val="0"/>
          <w:color w:val="333333"/>
          <w:spacing w:val="0"/>
          <w:kern w:val="0"/>
          <w:sz w:val="28"/>
          <w:szCs w:val="28"/>
          <w:shd w:val="clear" w:fill="FFFFFF"/>
          <w:lang w:val="en-US" w:eastAsia="zh-CN" w:bidi="ar"/>
        </w:rPr>
        <w:t>……</w:t>
      </w:r>
      <w:r>
        <w:rPr>
          <w:rFonts w:hint="eastAsia" w:cs="仿宋"/>
          <w:b/>
          <w:bCs/>
          <w:i w:val="0"/>
          <w:iCs w:val="0"/>
          <w:caps w:val="0"/>
          <w:color w:val="333333"/>
          <w:spacing w:val="6"/>
          <w:kern w:val="0"/>
          <w:sz w:val="28"/>
          <w:szCs w:val="28"/>
          <w:shd w:val="clear" w:fill="FFFFFF"/>
          <w:lang w:val="en-US" w:eastAsia="zh-CN" w:bidi="ar"/>
        </w:rPr>
        <w:t>………………</w:t>
      </w:r>
      <w:r>
        <w:rPr>
          <w:rFonts w:hint="eastAsia" w:cs="仿宋"/>
          <w:b/>
          <w:bCs/>
          <w:i w:val="0"/>
          <w:iCs w:val="0"/>
          <w:caps w:val="0"/>
          <w:color w:val="333333"/>
          <w:spacing w:val="0"/>
          <w:kern w:val="0"/>
          <w:sz w:val="28"/>
          <w:szCs w:val="28"/>
          <w:shd w:val="clear" w:fill="FFFFFF"/>
          <w:lang w:val="en-US" w:eastAsia="zh-CN" w:bidi="ar"/>
        </w:rPr>
        <w:t>………4</w:t>
      </w:r>
    </w:p>
    <w:p>
      <w:pPr>
        <w:pStyle w:val="12"/>
        <w:keepNext w:val="0"/>
        <w:keepLines w:val="0"/>
        <w:pageBreakBefore w:val="0"/>
        <w:widowControl w:val="0"/>
        <w:kinsoku/>
        <w:wordWrap/>
        <w:overflowPunct/>
        <w:topLinePunct w:val="0"/>
        <w:autoSpaceDE/>
        <w:autoSpaceDN/>
        <w:bidi w:val="0"/>
        <w:adjustRightInd w:val="0"/>
        <w:snapToGrid w:val="0"/>
        <w:spacing w:line="360" w:lineRule="exact"/>
        <w:jc w:val="distribute"/>
        <w:textAlignment w:val="auto"/>
        <w:rPr>
          <w:rFonts w:hint="default"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一、收入支出决算总体情况说明…………………………………4</w:t>
      </w:r>
    </w:p>
    <w:p>
      <w:pPr>
        <w:pStyle w:val="12"/>
        <w:keepNext w:val="0"/>
        <w:keepLines w:val="0"/>
        <w:pageBreakBefore w:val="0"/>
        <w:widowControl w:val="0"/>
        <w:kinsoku/>
        <w:wordWrap/>
        <w:overflowPunct/>
        <w:topLinePunct w:val="0"/>
        <w:autoSpaceDE/>
        <w:autoSpaceDN/>
        <w:bidi w:val="0"/>
        <w:adjustRightInd w:val="0"/>
        <w:snapToGrid w:val="0"/>
        <w:spacing w:line="360" w:lineRule="exact"/>
        <w:jc w:val="distribute"/>
        <w:textAlignment w:val="auto"/>
        <w:rPr>
          <w:rFonts w:hint="default"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二、收入决算情况说明……………………………………………4</w:t>
      </w:r>
    </w:p>
    <w:p>
      <w:pPr>
        <w:pStyle w:val="12"/>
        <w:keepNext w:val="0"/>
        <w:keepLines w:val="0"/>
        <w:pageBreakBefore w:val="0"/>
        <w:widowControl w:val="0"/>
        <w:kinsoku/>
        <w:wordWrap/>
        <w:overflowPunct/>
        <w:topLinePunct w:val="0"/>
        <w:autoSpaceDE/>
        <w:autoSpaceDN/>
        <w:bidi w:val="0"/>
        <w:adjustRightInd w:val="0"/>
        <w:snapToGrid w:val="0"/>
        <w:spacing w:line="360" w:lineRule="exact"/>
        <w:jc w:val="distribute"/>
        <w:textAlignment w:val="auto"/>
        <w:rPr>
          <w:rFonts w:hint="default"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三、支出决算情况说明……………………………………………5</w:t>
      </w:r>
    </w:p>
    <w:p>
      <w:pPr>
        <w:pStyle w:val="12"/>
        <w:keepNext w:val="0"/>
        <w:keepLines w:val="0"/>
        <w:pageBreakBefore w:val="0"/>
        <w:widowControl w:val="0"/>
        <w:kinsoku/>
        <w:wordWrap/>
        <w:overflowPunct/>
        <w:topLinePunct w:val="0"/>
        <w:autoSpaceDE/>
        <w:autoSpaceDN/>
        <w:bidi w:val="0"/>
        <w:adjustRightInd w:val="0"/>
        <w:snapToGrid w:val="0"/>
        <w:spacing w:line="360" w:lineRule="exact"/>
        <w:jc w:val="distribute"/>
        <w:textAlignment w:val="auto"/>
        <w:rPr>
          <w:rFonts w:hint="default"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四、财政拨款收入支出决算总体情况说明………………………5</w:t>
      </w:r>
    </w:p>
    <w:p>
      <w:pPr>
        <w:pStyle w:val="12"/>
        <w:keepNext w:val="0"/>
        <w:keepLines w:val="0"/>
        <w:pageBreakBefore w:val="0"/>
        <w:widowControl w:val="0"/>
        <w:kinsoku/>
        <w:wordWrap/>
        <w:overflowPunct/>
        <w:topLinePunct w:val="0"/>
        <w:autoSpaceDE/>
        <w:autoSpaceDN/>
        <w:bidi w:val="0"/>
        <w:adjustRightInd w:val="0"/>
        <w:snapToGrid w:val="0"/>
        <w:spacing w:line="360" w:lineRule="exact"/>
        <w:jc w:val="distribute"/>
        <w:textAlignment w:val="auto"/>
        <w:rPr>
          <w:rFonts w:hint="default"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五、一般公共预算财政拨款支出决算情况说明…………………6</w:t>
      </w:r>
    </w:p>
    <w:p>
      <w:pPr>
        <w:pStyle w:val="12"/>
        <w:keepNext w:val="0"/>
        <w:keepLines w:val="0"/>
        <w:pageBreakBefore w:val="0"/>
        <w:widowControl w:val="0"/>
        <w:kinsoku/>
        <w:wordWrap/>
        <w:overflowPunct/>
        <w:topLinePunct w:val="0"/>
        <w:autoSpaceDE/>
        <w:autoSpaceDN/>
        <w:bidi w:val="0"/>
        <w:adjustRightInd w:val="0"/>
        <w:snapToGrid w:val="0"/>
        <w:spacing w:line="360" w:lineRule="exact"/>
        <w:jc w:val="distribute"/>
        <w:textAlignment w:val="auto"/>
        <w:rPr>
          <w:rFonts w:hint="default"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六、一般公共预算财政拨款基本支出决算情况说明……………9</w:t>
      </w:r>
    </w:p>
    <w:p>
      <w:pPr>
        <w:pStyle w:val="12"/>
        <w:keepNext w:val="0"/>
        <w:keepLines w:val="0"/>
        <w:pageBreakBefore w:val="0"/>
        <w:widowControl w:val="0"/>
        <w:kinsoku/>
        <w:wordWrap/>
        <w:overflowPunct/>
        <w:topLinePunct w:val="0"/>
        <w:autoSpaceDE/>
        <w:autoSpaceDN/>
        <w:bidi w:val="0"/>
        <w:adjustRightInd w:val="0"/>
        <w:snapToGrid w:val="0"/>
        <w:spacing w:line="360" w:lineRule="exact"/>
        <w:jc w:val="distribute"/>
        <w:textAlignment w:val="auto"/>
        <w:rPr>
          <w:rFonts w:hint="default"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七、“三公”经费财政拨款支出决算情况说明…………………9</w:t>
      </w:r>
    </w:p>
    <w:p>
      <w:pPr>
        <w:pStyle w:val="12"/>
        <w:keepNext w:val="0"/>
        <w:keepLines w:val="0"/>
        <w:pageBreakBefore w:val="0"/>
        <w:widowControl w:val="0"/>
        <w:kinsoku/>
        <w:wordWrap/>
        <w:overflowPunct/>
        <w:topLinePunct w:val="0"/>
        <w:autoSpaceDE/>
        <w:autoSpaceDN/>
        <w:bidi w:val="0"/>
        <w:adjustRightInd w:val="0"/>
        <w:snapToGrid w:val="0"/>
        <w:spacing w:line="360" w:lineRule="exact"/>
        <w:jc w:val="distribute"/>
        <w:textAlignment w:val="auto"/>
        <w:rPr>
          <w:rFonts w:hint="default"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八、政府性基金预算支出决算情况说明………………………11</w:t>
      </w:r>
    </w:p>
    <w:p>
      <w:pPr>
        <w:pStyle w:val="12"/>
        <w:keepNext w:val="0"/>
        <w:keepLines w:val="0"/>
        <w:pageBreakBefore w:val="0"/>
        <w:widowControl w:val="0"/>
        <w:kinsoku/>
        <w:wordWrap/>
        <w:overflowPunct/>
        <w:topLinePunct w:val="0"/>
        <w:autoSpaceDE/>
        <w:autoSpaceDN/>
        <w:bidi w:val="0"/>
        <w:adjustRightInd w:val="0"/>
        <w:snapToGrid w:val="0"/>
        <w:spacing w:line="360" w:lineRule="exact"/>
        <w:jc w:val="distribute"/>
        <w:textAlignment w:val="auto"/>
        <w:rPr>
          <w:rFonts w:hint="default"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九、国有资本经营预算支出决算情况说明……………………11</w:t>
      </w:r>
    </w:p>
    <w:p>
      <w:pPr>
        <w:pStyle w:val="12"/>
        <w:keepNext w:val="0"/>
        <w:keepLines w:val="0"/>
        <w:pageBreakBefore w:val="0"/>
        <w:widowControl w:val="0"/>
        <w:kinsoku/>
        <w:wordWrap/>
        <w:overflowPunct/>
        <w:topLinePunct w:val="0"/>
        <w:autoSpaceDE/>
        <w:autoSpaceDN/>
        <w:bidi w:val="0"/>
        <w:adjustRightInd w:val="0"/>
        <w:snapToGrid w:val="0"/>
        <w:spacing w:line="360" w:lineRule="exact"/>
        <w:jc w:val="distribute"/>
        <w:textAlignment w:val="auto"/>
        <w:rPr>
          <w:rFonts w:hint="default"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十、其他重要事项的情况说明…………………………………11</w:t>
      </w:r>
    </w:p>
    <w:p>
      <w:pPr>
        <w:pStyle w:val="11"/>
        <w:keepNext w:val="0"/>
        <w:keepLines w:val="0"/>
        <w:pageBreakBefore w:val="0"/>
        <w:widowControl w:val="0"/>
        <w:kinsoku/>
        <w:wordWrap/>
        <w:overflowPunct/>
        <w:topLinePunct w:val="0"/>
        <w:autoSpaceDE/>
        <w:autoSpaceDN/>
        <w:bidi w:val="0"/>
        <w:adjustRightInd w:val="0"/>
        <w:snapToGrid w:val="0"/>
        <w:spacing w:before="0" w:line="360" w:lineRule="exact"/>
        <w:jc w:val="distribute"/>
        <w:textAlignment w:val="auto"/>
        <w:rPr>
          <w:rFonts w:hint="default" w:ascii="仿宋" w:hAnsi="仿宋" w:eastAsia="仿宋" w:cs="仿宋"/>
          <w:b/>
          <w:bCs/>
          <w:i w:val="0"/>
          <w:iCs w:val="0"/>
          <w:caps w:val="0"/>
          <w:color w:val="333333"/>
          <w:spacing w:val="0"/>
          <w:kern w:val="0"/>
          <w:sz w:val="28"/>
          <w:szCs w:val="28"/>
          <w:shd w:val="clear" w:fill="FFFFFF"/>
          <w:lang w:val="en-US" w:eastAsia="zh-CN" w:bidi="ar"/>
        </w:rPr>
      </w:pPr>
      <w:r>
        <w:rPr>
          <w:rFonts w:hint="eastAsia" w:ascii="仿宋" w:hAnsi="仿宋" w:eastAsia="仿宋" w:cs="仿宋"/>
          <w:b/>
          <w:bCs/>
          <w:i w:val="0"/>
          <w:iCs w:val="0"/>
          <w:caps w:val="0"/>
          <w:color w:val="333333"/>
          <w:spacing w:val="0"/>
          <w:kern w:val="0"/>
          <w:sz w:val="28"/>
          <w:szCs w:val="28"/>
          <w:shd w:val="clear" w:fill="FFFFFF"/>
          <w:lang w:val="en-US" w:eastAsia="zh-CN" w:bidi="ar"/>
        </w:rPr>
        <w:t>第三部分 名词解释</w:t>
      </w:r>
      <w:r>
        <w:rPr>
          <w:rFonts w:hint="eastAsia" w:cs="仿宋"/>
          <w:b/>
          <w:bCs/>
          <w:i w:val="0"/>
          <w:iCs w:val="0"/>
          <w:caps w:val="0"/>
          <w:color w:val="333333"/>
          <w:spacing w:val="0"/>
          <w:kern w:val="0"/>
          <w:sz w:val="28"/>
          <w:szCs w:val="28"/>
          <w:shd w:val="clear" w:fill="FFFFFF"/>
          <w:lang w:val="en-US" w:eastAsia="zh-CN" w:bidi="ar"/>
        </w:rPr>
        <w:t>…………………………………………………13</w:t>
      </w:r>
    </w:p>
    <w:p>
      <w:pPr>
        <w:pStyle w:val="11"/>
        <w:keepNext w:val="0"/>
        <w:keepLines w:val="0"/>
        <w:pageBreakBefore w:val="0"/>
        <w:widowControl w:val="0"/>
        <w:kinsoku/>
        <w:wordWrap/>
        <w:overflowPunct/>
        <w:topLinePunct w:val="0"/>
        <w:autoSpaceDE/>
        <w:autoSpaceDN/>
        <w:bidi w:val="0"/>
        <w:adjustRightInd w:val="0"/>
        <w:snapToGrid w:val="0"/>
        <w:spacing w:before="0" w:line="360" w:lineRule="exact"/>
        <w:jc w:val="distribute"/>
        <w:textAlignment w:val="auto"/>
        <w:rPr>
          <w:rFonts w:hint="eastAsia" w:cs="仿宋"/>
          <w:b/>
          <w:bCs/>
          <w:i w:val="0"/>
          <w:iCs w:val="0"/>
          <w:caps w:val="0"/>
          <w:color w:val="333333"/>
          <w:spacing w:val="0"/>
          <w:kern w:val="0"/>
          <w:sz w:val="28"/>
          <w:szCs w:val="28"/>
          <w:shd w:val="clear" w:fill="FFFFFF"/>
          <w:lang w:val="en-US" w:eastAsia="zh-CN" w:bidi="ar"/>
        </w:rPr>
      </w:pPr>
      <w:r>
        <w:rPr>
          <w:rFonts w:hint="eastAsia" w:ascii="仿宋" w:hAnsi="仿宋" w:eastAsia="仿宋" w:cs="仿宋"/>
          <w:b/>
          <w:bCs/>
          <w:i w:val="0"/>
          <w:iCs w:val="0"/>
          <w:caps w:val="0"/>
          <w:color w:val="333333"/>
          <w:spacing w:val="0"/>
          <w:kern w:val="0"/>
          <w:sz w:val="28"/>
          <w:szCs w:val="28"/>
          <w:shd w:val="clear" w:fill="FFFFFF"/>
          <w:lang w:val="en-US" w:eastAsia="zh-CN" w:bidi="ar"/>
        </w:rPr>
        <w:t>第四部分 附件</w:t>
      </w:r>
      <w:r>
        <w:rPr>
          <w:rFonts w:hint="eastAsia" w:cs="仿宋"/>
          <w:b/>
          <w:bCs/>
          <w:i w:val="0"/>
          <w:iCs w:val="0"/>
          <w:caps w:val="0"/>
          <w:color w:val="333333"/>
          <w:spacing w:val="0"/>
          <w:kern w:val="0"/>
          <w:sz w:val="28"/>
          <w:szCs w:val="28"/>
          <w:shd w:val="clear" w:fill="FFFFFF"/>
          <w:lang w:val="en-US" w:eastAsia="zh-CN" w:bidi="ar"/>
        </w:rPr>
        <w:t xml:space="preserve">………………………………………………………16       </w:t>
      </w:r>
    </w:p>
    <w:p>
      <w:pPr>
        <w:pStyle w:val="11"/>
        <w:keepNext w:val="0"/>
        <w:keepLines w:val="0"/>
        <w:pageBreakBefore w:val="0"/>
        <w:widowControl w:val="0"/>
        <w:kinsoku/>
        <w:wordWrap/>
        <w:overflowPunct/>
        <w:topLinePunct w:val="0"/>
        <w:autoSpaceDE/>
        <w:autoSpaceDN/>
        <w:bidi w:val="0"/>
        <w:adjustRightInd w:val="0"/>
        <w:snapToGrid w:val="0"/>
        <w:spacing w:before="0" w:line="360" w:lineRule="exact"/>
        <w:jc w:val="distribute"/>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r>
        <w:rPr>
          <w:rFonts w:hint="eastAsia" w:cs="仿宋"/>
          <w:b/>
          <w:bCs/>
          <w:i w:val="0"/>
          <w:iCs w:val="0"/>
          <w:caps w:val="0"/>
          <w:color w:val="333333"/>
          <w:spacing w:val="0"/>
          <w:kern w:val="0"/>
          <w:sz w:val="28"/>
          <w:szCs w:val="28"/>
          <w:shd w:val="clear" w:fill="FFFFFF"/>
          <w:lang w:val="en-US" w:eastAsia="zh-CN" w:bidi="ar"/>
        </w:rPr>
        <w:t xml:space="preserve">   </w:t>
      </w:r>
      <w:r>
        <w:rPr>
          <w:rFonts w:hint="eastAsia" w:ascii="仿宋" w:hAnsi="仿宋" w:eastAsia="仿宋" w:cs="仿宋"/>
          <w:i w:val="0"/>
          <w:iCs w:val="0"/>
          <w:caps w:val="0"/>
          <w:color w:val="333333"/>
          <w:spacing w:val="0"/>
          <w:kern w:val="0"/>
          <w:sz w:val="28"/>
          <w:szCs w:val="28"/>
          <w:shd w:val="clear" w:fill="FFFFFF"/>
          <w:lang w:val="en-US" w:eastAsia="zh-CN" w:bidi="ar"/>
        </w:rPr>
        <w:t>附件1：遂宁市住房和城乡建设事务中心2021年部门预算整体</w:t>
      </w:r>
    </w:p>
    <w:p>
      <w:pPr>
        <w:pStyle w:val="11"/>
        <w:keepNext w:val="0"/>
        <w:keepLines w:val="0"/>
        <w:pageBreakBefore w:val="0"/>
        <w:widowControl w:val="0"/>
        <w:kinsoku/>
        <w:wordWrap/>
        <w:overflowPunct/>
        <w:topLinePunct w:val="0"/>
        <w:autoSpaceDE/>
        <w:autoSpaceDN/>
        <w:bidi w:val="0"/>
        <w:adjustRightInd w:val="0"/>
        <w:snapToGrid w:val="0"/>
        <w:spacing w:before="0" w:line="360" w:lineRule="exact"/>
        <w:jc w:val="distribute"/>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r>
        <w:rPr>
          <w:rFonts w:hint="eastAsia" w:cs="仿宋"/>
          <w:i w:val="0"/>
          <w:iCs w:val="0"/>
          <w:caps w:val="0"/>
          <w:color w:val="333333"/>
          <w:spacing w:val="0"/>
          <w:kern w:val="0"/>
          <w:sz w:val="28"/>
          <w:szCs w:val="28"/>
          <w:shd w:val="clear" w:fill="FFFFFF"/>
          <w:lang w:val="en-US" w:eastAsia="zh-CN" w:bidi="ar"/>
        </w:rPr>
        <w:t xml:space="preserve">   </w:t>
      </w:r>
      <w:r>
        <w:rPr>
          <w:rFonts w:hint="eastAsia" w:ascii="仿宋" w:hAnsi="仿宋" w:eastAsia="仿宋" w:cs="仿宋"/>
          <w:i w:val="0"/>
          <w:iCs w:val="0"/>
          <w:caps w:val="0"/>
          <w:color w:val="333333"/>
          <w:spacing w:val="0"/>
          <w:kern w:val="0"/>
          <w:sz w:val="28"/>
          <w:szCs w:val="28"/>
          <w:shd w:val="clear" w:fill="FFFFFF"/>
          <w:lang w:val="en-US" w:eastAsia="zh-CN" w:bidi="ar"/>
        </w:rPr>
        <w:t>支出绩效自评报告…………………………</w:t>
      </w:r>
      <w:r>
        <w:rPr>
          <w:rFonts w:hint="eastAsia" w:cs="仿宋"/>
          <w:i w:val="0"/>
          <w:iCs w:val="0"/>
          <w:caps w:val="0"/>
          <w:color w:val="333333"/>
          <w:spacing w:val="0"/>
          <w:kern w:val="0"/>
          <w:sz w:val="28"/>
          <w:szCs w:val="28"/>
          <w:shd w:val="clear" w:fill="FFFFFF"/>
          <w:lang w:val="en-US" w:eastAsia="zh-CN" w:bidi="ar"/>
        </w:rPr>
        <w:t>…………</w:t>
      </w:r>
      <w:r>
        <w:rPr>
          <w:rFonts w:hint="eastAsia" w:ascii="仿宋" w:hAnsi="仿宋" w:eastAsia="仿宋" w:cs="仿宋"/>
          <w:i w:val="0"/>
          <w:iCs w:val="0"/>
          <w:caps w:val="0"/>
          <w:color w:val="333333"/>
          <w:spacing w:val="0"/>
          <w:kern w:val="0"/>
          <w:sz w:val="28"/>
          <w:szCs w:val="28"/>
          <w:shd w:val="clear" w:fill="FFFFFF"/>
          <w:lang w:val="en-US" w:eastAsia="zh-CN" w:bidi="ar"/>
        </w:rPr>
        <w:t>…………16</w:t>
      </w:r>
    </w:p>
    <w:p>
      <w:pPr>
        <w:pStyle w:val="12"/>
        <w:keepNext w:val="0"/>
        <w:keepLines w:val="0"/>
        <w:pageBreakBefore w:val="0"/>
        <w:widowControl w:val="0"/>
        <w:kinsoku/>
        <w:wordWrap/>
        <w:overflowPunct/>
        <w:topLinePunct w:val="0"/>
        <w:autoSpaceDE/>
        <w:autoSpaceDN/>
        <w:bidi w:val="0"/>
        <w:adjustRightInd w:val="0"/>
        <w:snapToGrid w:val="0"/>
        <w:spacing w:line="360" w:lineRule="exact"/>
        <w:jc w:val="distribute"/>
        <w:textAlignment w:val="auto"/>
        <w:rPr>
          <w:rFonts w:hint="default"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附件2：遂宁市住房和城乡建设事务中心2021年部门预算项目支出绩效自评报告………………………………………………20</w:t>
      </w:r>
    </w:p>
    <w:p>
      <w:pPr>
        <w:pStyle w:val="11"/>
        <w:keepNext w:val="0"/>
        <w:keepLines w:val="0"/>
        <w:pageBreakBefore w:val="0"/>
        <w:widowControl w:val="0"/>
        <w:kinsoku/>
        <w:wordWrap/>
        <w:overflowPunct/>
        <w:topLinePunct w:val="0"/>
        <w:autoSpaceDE/>
        <w:autoSpaceDN/>
        <w:bidi w:val="0"/>
        <w:adjustRightInd w:val="0"/>
        <w:snapToGrid w:val="0"/>
        <w:spacing w:before="0" w:line="360" w:lineRule="exact"/>
        <w:jc w:val="distribute"/>
        <w:textAlignment w:val="auto"/>
        <w:rPr>
          <w:rFonts w:hint="default" w:ascii="仿宋" w:hAnsi="仿宋" w:eastAsia="仿宋" w:cs="仿宋"/>
          <w:b/>
          <w:bCs/>
          <w:i w:val="0"/>
          <w:iCs w:val="0"/>
          <w:caps w:val="0"/>
          <w:color w:val="333333"/>
          <w:spacing w:val="0"/>
          <w:kern w:val="0"/>
          <w:sz w:val="28"/>
          <w:szCs w:val="28"/>
          <w:shd w:val="clear" w:fill="FFFFFF"/>
          <w:lang w:val="en-US" w:eastAsia="zh-CN" w:bidi="ar"/>
        </w:rPr>
      </w:pPr>
      <w:r>
        <w:rPr>
          <w:rFonts w:hint="eastAsia" w:ascii="仿宋" w:hAnsi="仿宋" w:eastAsia="仿宋" w:cs="仿宋"/>
          <w:b/>
          <w:bCs/>
          <w:i w:val="0"/>
          <w:iCs w:val="0"/>
          <w:caps w:val="0"/>
          <w:color w:val="333333"/>
          <w:spacing w:val="0"/>
          <w:kern w:val="0"/>
          <w:sz w:val="28"/>
          <w:szCs w:val="28"/>
          <w:shd w:val="clear" w:fill="FFFFFF"/>
          <w:lang w:val="en-US" w:eastAsia="zh-CN" w:bidi="ar"/>
        </w:rPr>
        <w:t>第五部分 附表</w:t>
      </w:r>
      <w:r>
        <w:rPr>
          <w:rFonts w:hint="eastAsia" w:cs="仿宋"/>
          <w:b/>
          <w:bCs/>
          <w:i w:val="0"/>
          <w:iCs w:val="0"/>
          <w:caps w:val="0"/>
          <w:color w:val="333333"/>
          <w:spacing w:val="0"/>
          <w:kern w:val="0"/>
          <w:sz w:val="28"/>
          <w:szCs w:val="28"/>
          <w:shd w:val="clear" w:fill="FFFFFF"/>
          <w:lang w:val="en-US" w:eastAsia="zh-CN" w:bidi="ar"/>
        </w:rPr>
        <w:t>………………………………………………………25</w:t>
      </w:r>
    </w:p>
    <w:p>
      <w:pPr>
        <w:pStyle w:val="12"/>
        <w:keepNext w:val="0"/>
        <w:keepLines w:val="0"/>
        <w:pageBreakBefore w:val="0"/>
        <w:widowControl w:val="0"/>
        <w:kinsoku/>
        <w:wordWrap/>
        <w:overflowPunct/>
        <w:topLinePunct w:val="0"/>
        <w:autoSpaceDE/>
        <w:autoSpaceDN/>
        <w:bidi w:val="0"/>
        <w:adjustRightInd w:val="0"/>
        <w:snapToGrid w:val="0"/>
        <w:spacing w:line="360" w:lineRule="exact"/>
        <w:jc w:val="distribute"/>
        <w:textAlignment w:val="auto"/>
        <w:rPr>
          <w:rFonts w:hint="default"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一、收入支出决算表……………………………………………25</w:t>
      </w:r>
    </w:p>
    <w:p>
      <w:pPr>
        <w:pStyle w:val="12"/>
        <w:keepNext w:val="0"/>
        <w:keepLines w:val="0"/>
        <w:pageBreakBefore w:val="0"/>
        <w:widowControl w:val="0"/>
        <w:kinsoku/>
        <w:wordWrap/>
        <w:overflowPunct/>
        <w:topLinePunct w:val="0"/>
        <w:autoSpaceDE/>
        <w:autoSpaceDN/>
        <w:bidi w:val="0"/>
        <w:adjustRightInd w:val="0"/>
        <w:snapToGrid w:val="0"/>
        <w:spacing w:line="360" w:lineRule="exact"/>
        <w:jc w:val="distribute"/>
        <w:textAlignment w:val="auto"/>
        <w:rPr>
          <w:rFonts w:hint="default"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二、收入决算表…………………………………………………25</w:t>
      </w:r>
    </w:p>
    <w:p>
      <w:pPr>
        <w:pStyle w:val="12"/>
        <w:keepNext w:val="0"/>
        <w:keepLines w:val="0"/>
        <w:pageBreakBefore w:val="0"/>
        <w:widowControl w:val="0"/>
        <w:kinsoku/>
        <w:wordWrap/>
        <w:overflowPunct/>
        <w:topLinePunct w:val="0"/>
        <w:autoSpaceDE/>
        <w:autoSpaceDN/>
        <w:bidi w:val="0"/>
        <w:adjustRightInd w:val="0"/>
        <w:snapToGrid w:val="0"/>
        <w:spacing w:line="360" w:lineRule="exact"/>
        <w:jc w:val="distribute"/>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三、支出决算表…………………………………………………25</w:t>
      </w:r>
    </w:p>
    <w:p>
      <w:pPr>
        <w:pStyle w:val="12"/>
        <w:keepNext w:val="0"/>
        <w:keepLines w:val="0"/>
        <w:pageBreakBefore w:val="0"/>
        <w:widowControl w:val="0"/>
        <w:kinsoku/>
        <w:wordWrap/>
        <w:overflowPunct/>
        <w:topLinePunct w:val="0"/>
        <w:autoSpaceDE/>
        <w:autoSpaceDN/>
        <w:bidi w:val="0"/>
        <w:adjustRightInd w:val="0"/>
        <w:snapToGrid w:val="0"/>
        <w:spacing w:line="360" w:lineRule="exact"/>
        <w:jc w:val="distribute"/>
        <w:textAlignment w:val="auto"/>
        <w:rPr>
          <w:rFonts w:hint="default"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四、财政拨款收入支出决算总表………………………………25</w:t>
      </w:r>
    </w:p>
    <w:p>
      <w:pPr>
        <w:pStyle w:val="12"/>
        <w:keepNext w:val="0"/>
        <w:keepLines w:val="0"/>
        <w:pageBreakBefore w:val="0"/>
        <w:widowControl w:val="0"/>
        <w:kinsoku/>
        <w:wordWrap/>
        <w:overflowPunct/>
        <w:topLinePunct w:val="0"/>
        <w:autoSpaceDE/>
        <w:autoSpaceDN/>
        <w:bidi w:val="0"/>
        <w:adjustRightInd w:val="0"/>
        <w:snapToGrid w:val="0"/>
        <w:spacing w:line="360" w:lineRule="exact"/>
        <w:jc w:val="distribute"/>
        <w:textAlignment w:val="auto"/>
        <w:rPr>
          <w:rFonts w:hint="default"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五、财政拨款支出决算明细表…………………………………25</w:t>
      </w:r>
    </w:p>
    <w:p>
      <w:pPr>
        <w:pStyle w:val="12"/>
        <w:keepNext w:val="0"/>
        <w:keepLines w:val="0"/>
        <w:pageBreakBefore w:val="0"/>
        <w:widowControl w:val="0"/>
        <w:kinsoku/>
        <w:wordWrap/>
        <w:overflowPunct/>
        <w:topLinePunct w:val="0"/>
        <w:autoSpaceDE/>
        <w:autoSpaceDN/>
        <w:bidi w:val="0"/>
        <w:adjustRightInd w:val="0"/>
        <w:snapToGrid w:val="0"/>
        <w:spacing w:line="360" w:lineRule="exact"/>
        <w:jc w:val="distribute"/>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六、一般公共预算财政拨款支出决算表………………………25</w:t>
      </w:r>
    </w:p>
    <w:p>
      <w:pPr>
        <w:pStyle w:val="12"/>
        <w:keepNext w:val="0"/>
        <w:keepLines w:val="0"/>
        <w:pageBreakBefore w:val="0"/>
        <w:widowControl w:val="0"/>
        <w:kinsoku/>
        <w:wordWrap/>
        <w:overflowPunct/>
        <w:topLinePunct w:val="0"/>
        <w:autoSpaceDE/>
        <w:autoSpaceDN/>
        <w:bidi w:val="0"/>
        <w:adjustRightInd w:val="0"/>
        <w:snapToGrid w:val="0"/>
        <w:spacing w:line="360" w:lineRule="exact"/>
        <w:jc w:val="distribute"/>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七、一般公共预算财政拨款支出决算明细表…………………25</w:t>
      </w:r>
    </w:p>
    <w:p>
      <w:pPr>
        <w:pStyle w:val="12"/>
        <w:keepNext w:val="0"/>
        <w:keepLines w:val="0"/>
        <w:pageBreakBefore w:val="0"/>
        <w:widowControl w:val="0"/>
        <w:kinsoku/>
        <w:wordWrap/>
        <w:overflowPunct/>
        <w:topLinePunct w:val="0"/>
        <w:autoSpaceDE/>
        <w:autoSpaceDN/>
        <w:bidi w:val="0"/>
        <w:adjustRightInd w:val="0"/>
        <w:snapToGrid w:val="0"/>
        <w:spacing w:line="360" w:lineRule="exact"/>
        <w:jc w:val="distribute"/>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八、一般公共预算财政拨款基本支出决算表…………………25</w:t>
      </w:r>
    </w:p>
    <w:p>
      <w:pPr>
        <w:pStyle w:val="12"/>
        <w:keepNext w:val="0"/>
        <w:keepLines w:val="0"/>
        <w:pageBreakBefore w:val="0"/>
        <w:widowControl w:val="0"/>
        <w:kinsoku/>
        <w:wordWrap/>
        <w:overflowPunct/>
        <w:topLinePunct w:val="0"/>
        <w:autoSpaceDE/>
        <w:autoSpaceDN/>
        <w:bidi w:val="0"/>
        <w:adjustRightInd w:val="0"/>
        <w:snapToGrid w:val="0"/>
        <w:spacing w:line="360" w:lineRule="exact"/>
        <w:jc w:val="distribute"/>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九、一般公共预算财政拨款项目支出决算表…………………25</w:t>
      </w:r>
    </w:p>
    <w:p>
      <w:pPr>
        <w:pStyle w:val="12"/>
        <w:keepNext w:val="0"/>
        <w:keepLines w:val="0"/>
        <w:pageBreakBefore w:val="0"/>
        <w:widowControl w:val="0"/>
        <w:kinsoku/>
        <w:wordWrap/>
        <w:overflowPunct/>
        <w:topLinePunct w:val="0"/>
        <w:autoSpaceDE/>
        <w:autoSpaceDN/>
        <w:bidi w:val="0"/>
        <w:adjustRightInd w:val="0"/>
        <w:snapToGrid w:val="0"/>
        <w:spacing w:line="360" w:lineRule="exact"/>
        <w:jc w:val="distribute"/>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十、一般公共预算财政拨款“三公”经费支出决算表………25</w:t>
      </w:r>
    </w:p>
    <w:p>
      <w:pPr>
        <w:pStyle w:val="12"/>
        <w:keepNext w:val="0"/>
        <w:keepLines w:val="0"/>
        <w:pageBreakBefore w:val="0"/>
        <w:widowControl w:val="0"/>
        <w:kinsoku/>
        <w:wordWrap/>
        <w:overflowPunct/>
        <w:topLinePunct w:val="0"/>
        <w:autoSpaceDE/>
        <w:autoSpaceDN/>
        <w:bidi w:val="0"/>
        <w:adjustRightInd w:val="0"/>
        <w:snapToGrid w:val="0"/>
        <w:spacing w:line="360" w:lineRule="exact"/>
        <w:jc w:val="distribute"/>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十一、政府性基金预算财政拨款收入支出决算表………25</w:t>
      </w:r>
    </w:p>
    <w:p>
      <w:pPr>
        <w:pStyle w:val="12"/>
        <w:keepNext w:val="0"/>
        <w:keepLines w:val="0"/>
        <w:pageBreakBefore w:val="0"/>
        <w:widowControl w:val="0"/>
        <w:kinsoku/>
        <w:wordWrap/>
        <w:overflowPunct/>
        <w:topLinePunct w:val="0"/>
        <w:autoSpaceDE/>
        <w:autoSpaceDN/>
        <w:bidi w:val="0"/>
        <w:adjustRightInd w:val="0"/>
        <w:snapToGrid w:val="0"/>
        <w:spacing w:line="360" w:lineRule="exact"/>
        <w:jc w:val="distribute"/>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十二、政府性基金预算财政拨款“三公”经费支出决算表…25</w:t>
      </w:r>
    </w:p>
    <w:p>
      <w:pPr>
        <w:pStyle w:val="12"/>
        <w:keepNext w:val="0"/>
        <w:keepLines w:val="0"/>
        <w:pageBreakBefore w:val="0"/>
        <w:widowControl w:val="0"/>
        <w:kinsoku/>
        <w:wordWrap/>
        <w:overflowPunct/>
        <w:topLinePunct w:val="0"/>
        <w:autoSpaceDE/>
        <w:autoSpaceDN/>
        <w:bidi w:val="0"/>
        <w:adjustRightInd w:val="0"/>
        <w:snapToGrid w:val="0"/>
        <w:spacing w:line="360" w:lineRule="exact"/>
        <w:jc w:val="distribute"/>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十三、国有资本经营预算财政拨款收入支出决算表…………25</w:t>
      </w:r>
    </w:p>
    <w:p>
      <w:pPr>
        <w:pStyle w:val="12"/>
        <w:keepNext w:val="0"/>
        <w:keepLines w:val="0"/>
        <w:pageBreakBefore w:val="0"/>
        <w:widowControl w:val="0"/>
        <w:kinsoku/>
        <w:wordWrap/>
        <w:overflowPunct/>
        <w:topLinePunct w:val="0"/>
        <w:autoSpaceDE/>
        <w:autoSpaceDN/>
        <w:bidi w:val="0"/>
        <w:adjustRightInd w:val="0"/>
        <w:snapToGrid w:val="0"/>
        <w:spacing w:line="360" w:lineRule="exact"/>
        <w:jc w:val="distribute"/>
        <w:textAlignment w:val="auto"/>
        <w:rPr>
          <w:rFonts w:hint="default"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十四、国有资本经营预算财政拨款支出决算表……………25</w:t>
      </w:r>
    </w:p>
    <w:p>
      <w:pPr>
        <w:pStyle w:val="3"/>
        <w:jc w:val="distribute"/>
        <w:rPr>
          <w:rFonts w:hint="eastAsia" w:ascii="黑体" w:hAnsi="黑体" w:eastAsia="黑体"/>
          <w:b w:val="0"/>
          <w:color w:val="auto"/>
          <w:highlight w:val="none"/>
        </w:rPr>
        <w:sectPr>
          <w:footerReference r:id="rId6" w:type="first"/>
          <w:footerReference r:id="rId5" w:type="default"/>
          <w:pgSz w:w="11906" w:h="16838"/>
          <w:pgMar w:top="1440" w:right="1576" w:bottom="1327" w:left="1689" w:header="851" w:footer="992" w:gutter="0"/>
          <w:pgNumType w:start="1"/>
          <w:cols w:space="425" w:num="1"/>
          <w:titlePg/>
          <w:docGrid w:type="lines" w:linePitch="312" w:charSpace="0"/>
        </w:sectPr>
      </w:pPr>
      <w:bookmarkStart w:id="12" w:name="_Toc15396599"/>
      <w:bookmarkStart w:id="13" w:name="_Toc15377196"/>
    </w:p>
    <w:p>
      <w:pPr>
        <w:pStyle w:val="3"/>
        <w:jc w:val="center"/>
        <w:rPr>
          <w:rStyle w:val="25"/>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5"/>
          <w:rFonts w:hint="eastAsia" w:ascii="黑体" w:hAnsi="黑体" w:eastAsia="黑体"/>
          <w:b w:val="0"/>
          <w:bCs w:val="0"/>
          <w:color w:val="auto"/>
          <w:highlight w:val="none"/>
        </w:rPr>
        <w:t>概况</w:t>
      </w:r>
      <w:bookmarkEnd w:id="12"/>
      <w:bookmarkEnd w:id="13"/>
    </w:p>
    <w:p>
      <w:pPr>
        <w:pStyle w:val="4"/>
        <w:pageBreakBefore w:val="0"/>
        <w:numPr>
          <w:ilvl w:val="0"/>
          <w:numId w:val="0"/>
        </w:numPr>
        <w:kinsoku/>
        <w:wordWrap/>
        <w:overflowPunct/>
        <w:topLinePunct w:val="0"/>
        <w:autoSpaceDE/>
        <w:autoSpaceDN/>
        <w:bidi w:val="0"/>
        <w:adjustRightInd/>
        <w:snapToGrid/>
        <w:spacing w:before="0" w:after="0" w:line="520" w:lineRule="exact"/>
        <w:ind w:firstLine="640" w:firstLineChars="200"/>
        <w:textAlignment w:val="auto"/>
        <w:rPr>
          <w:rStyle w:val="26"/>
          <w:rFonts w:hint="eastAsia" w:ascii="黑体" w:hAnsi="黑体" w:eastAsia="黑体"/>
          <w:b w:val="0"/>
          <w:bCs w:val="0"/>
          <w:color w:val="auto"/>
          <w:highlight w:val="none"/>
          <w:lang w:eastAsia="zh-CN"/>
        </w:rPr>
      </w:pPr>
      <w:bookmarkStart w:id="14" w:name="_Toc15377197"/>
      <w:bookmarkStart w:id="15" w:name="_Toc15396600"/>
      <w:r>
        <w:rPr>
          <w:rStyle w:val="26"/>
          <w:rFonts w:hint="eastAsia" w:ascii="黑体" w:hAnsi="黑体" w:eastAsia="黑体"/>
          <w:b w:val="0"/>
          <w:bCs w:val="0"/>
          <w:color w:val="auto"/>
          <w:highlight w:val="none"/>
          <w:lang w:eastAsia="zh-CN"/>
        </w:rPr>
        <w:t>一、</w:t>
      </w:r>
      <w:r>
        <w:rPr>
          <w:rStyle w:val="26"/>
          <w:rFonts w:hint="eastAsia" w:ascii="黑体" w:hAnsi="黑体" w:eastAsia="黑体"/>
          <w:b w:val="0"/>
          <w:bCs w:val="0"/>
          <w:color w:val="auto"/>
          <w:highlight w:val="none"/>
        </w:rPr>
        <w:t>职能</w:t>
      </w:r>
      <w:r>
        <w:rPr>
          <w:rStyle w:val="26"/>
          <w:rFonts w:hint="eastAsia" w:ascii="黑体" w:hAnsi="黑体" w:eastAsia="黑体"/>
          <w:b w:val="0"/>
          <w:bCs w:val="0"/>
          <w:color w:val="auto"/>
          <w:highlight w:val="none"/>
          <w:lang w:eastAsia="zh-CN"/>
        </w:rPr>
        <w:t>简介</w:t>
      </w:r>
    </w:p>
    <w:p>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exact"/>
        <w:ind w:left="0" w:right="0" w:firstLine="632"/>
        <w:jc w:val="both"/>
        <w:textAlignment w:val="auto"/>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 贯彻执行有关市政公用、园林绿化、建设工程消防(该职责暂定在事务中心，根据市委编办机构设置再作调整，下同)工作的方针、政策和法律、法规；参与拟定地方性法规、规章草案、相关政策并提供技术指导。</w:t>
      </w:r>
    </w:p>
    <w:p>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exact"/>
        <w:ind w:left="0" w:right="0" w:firstLine="632"/>
        <w:jc w:val="both"/>
        <w:textAlignment w:val="auto"/>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2. 参与全市市政公用、园林绿化、建设工程消防（暂定）各种专业规划编制；制定城市市政公用、园林绿化、建设工程消防（暂定）的中长期发展目标和年度计划，并提供技术指导。</w:t>
      </w:r>
    </w:p>
    <w:p>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exact"/>
        <w:ind w:left="0" w:right="0" w:firstLine="632"/>
        <w:jc w:val="both"/>
        <w:textAlignment w:val="auto"/>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3. 统筹协调和指导全市市政基础设施（包括城市道路、桥梁、隧道、供排水等）、园林绿化、建设工程消防（暂定）的建设、管理、维护工作。</w:t>
      </w:r>
    </w:p>
    <w:p>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exact"/>
        <w:ind w:left="0" w:right="0" w:firstLine="632"/>
        <w:jc w:val="both"/>
        <w:textAlignment w:val="auto"/>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4. 统筹协调和指导市城区城市排水防涝、城镇燃气、城市供水、污水处理应急抢险工作，指导全市城市修订排水防涝、城镇燃气、城市供水、城镇污水处理应急预案，具体负责修订市本级排水防涝、城镇燃气、城市供水、城镇污水处理应急预案。</w:t>
      </w:r>
    </w:p>
    <w:p>
      <w:pPr>
        <w:pStyle w:val="4"/>
        <w:pageBreakBefore w:val="0"/>
        <w:widowControl w:val="0"/>
        <w:numPr>
          <w:ilvl w:val="0"/>
          <w:numId w:val="0"/>
        </w:numPr>
        <w:kinsoku/>
        <w:wordWrap/>
        <w:overflowPunct/>
        <w:topLinePunct w:val="0"/>
        <w:autoSpaceDE/>
        <w:autoSpaceDN/>
        <w:bidi w:val="0"/>
        <w:adjustRightInd/>
        <w:snapToGrid/>
        <w:spacing w:before="0" w:after="0"/>
        <w:ind w:firstLine="640" w:firstLineChars="200"/>
        <w:textAlignment w:val="auto"/>
        <w:rPr>
          <w:rFonts w:hint="eastAsia" w:ascii="仿宋" w:hAnsi="仿宋" w:eastAsia="仿宋" w:cs="仿宋"/>
          <w:b w:val="0"/>
          <w:bCs w:val="0"/>
          <w:i w:val="0"/>
          <w:iCs w:val="0"/>
          <w:caps w:val="0"/>
          <w:color w:val="333333"/>
          <w:spacing w:val="0"/>
          <w:kern w:val="0"/>
          <w:sz w:val="32"/>
          <w:szCs w:val="32"/>
          <w:shd w:val="clear" w:fill="FFFFFF"/>
          <w:lang w:val="en-US" w:eastAsia="zh-CN" w:bidi="ar"/>
        </w:rPr>
      </w:pPr>
      <w:r>
        <w:rPr>
          <w:rFonts w:hint="eastAsia" w:ascii="仿宋" w:hAnsi="仿宋" w:eastAsia="仿宋" w:cs="仿宋"/>
          <w:b w:val="0"/>
          <w:bCs w:val="0"/>
          <w:i w:val="0"/>
          <w:iCs w:val="0"/>
          <w:caps w:val="0"/>
          <w:color w:val="333333"/>
          <w:spacing w:val="0"/>
          <w:kern w:val="0"/>
          <w:sz w:val="32"/>
          <w:szCs w:val="32"/>
          <w:shd w:val="clear" w:fill="FFFFFF"/>
          <w:lang w:val="en-US" w:eastAsia="zh-CN" w:bidi="ar"/>
        </w:rPr>
        <w:t>5. 负责市中心城区市政地下管网平台、海绵城市监测平台、城市节水系统、中心城区照明智能集中控制系统等数字化建设管理、维护更新工作。</w:t>
      </w:r>
    </w:p>
    <w:p>
      <w:pPr>
        <w:pStyle w:val="4"/>
        <w:pageBreakBefore w:val="0"/>
        <w:widowControl w:val="0"/>
        <w:numPr>
          <w:ilvl w:val="0"/>
          <w:numId w:val="0"/>
        </w:numPr>
        <w:kinsoku/>
        <w:wordWrap/>
        <w:overflowPunct/>
        <w:topLinePunct w:val="0"/>
        <w:autoSpaceDE/>
        <w:autoSpaceDN/>
        <w:bidi w:val="0"/>
        <w:adjustRightInd/>
        <w:snapToGrid/>
        <w:spacing w:before="0" w:after="0"/>
        <w:ind w:firstLine="640" w:firstLineChars="200"/>
        <w:textAlignment w:val="auto"/>
        <w:rPr>
          <w:rFonts w:hint="eastAsia" w:ascii="黑体" w:hAnsi="黑体" w:eastAsia="黑体"/>
          <w:b w:val="0"/>
          <w:color w:val="auto"/>
          <w:highlight w:val="none"/>
        </w:rPr>
      </w:pPr>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4"/>
      <w:bookmarkEnd w:id="15"/>
      <w:r>
        <w:rPr>
          <w:rFonts w:hint="eastAsia" w:ascii="黑体" w:hAnsi="黑体" w:eastAsia="黑体"/>
          <w:b w:val="0"/>
          <w:color w:val="auto"/>
          <w:highlight w:val="none"/>
          <w:lang w:eastAsia="zh-CN"/>
        </w:rPr>
        <w:t>完成情况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Style w:val="33"/>
          <w:rFonts w:hint="eastAsia" w:ascii="Times New Roman" w:hAnsi="Times New Roman" w:eastAsia="楷体_GB2312"/>
          <w:b/>
          <w:bCs/>
          <w:sz w:val="32"/>
          <w:szCs w:val="32"/>
          <w:lang w:val="en-US" w:eastAsia="zh-CN"/>
        </w:rPr>
      </w:pPr>
      <w:r>
        <w:rPr>
          <w:rStyle w:val="33"/>
          <w:rFonts w:hint="eastAsia" w:ascii="Times New Roman" w:hAnsi="Times New Roman" w:eastAsia="楷体_GB2312"/>
          <w:b/>
          <w:bCs/>
          <w:sz w:val="32"/>
          <w:szCs w:val="32"/>
          <w:lang w:val="en-US" w:eastAsia="zh-CN"/>
        </w:rPr>
        <w:t>（</w:t>
      </w:r>
      <w:r>
        <w:rPr>
          <w:rStyle w:val="33"/>
          <w:rFonts w:hint="eastAsia" w:eastAsia="楷体_GB2312"/>
          <w:b/>
          <w:bCs/>
          <w:sz w:val="32"/>
          <w:szCs w:val="32"/>
          <w:lang w:val="en-US" w:eastAsia="zh-CN"/>
        </w:rPr>
        <w:t>一</w:t>
      </w:r>
      <w:r>
        <w:rPr>
          <w:rStyle w:val="33"/>
          <w:rFonts w:hint="eastAsia" w:ascii="Times New Roman" w:hAnsi="Times New Roman" w:eastAsia="楷体_GB2312"/>
          <w:b/>
          <w:bCs/>
          <w:sz w:val="32"/>
          <w:szCs w:val="32"/>
          <w:lang w:val="en-US" w:eastAsia="zh-CN"/>
        </w:rPr>
        <w:t>）强化基础设施建设，补齐城市设施短板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 w:val="0"/>
          <w:bCs/>
          <w:kern w:val="0"/>
          <w:sz w:val="32"/>
          <w:szCs w:val="32"/>
          <w:lang w:val="en-US" w:eastAsia="zh-CN"/>
        </w:rPr>
      </w:pPr>
      <w:r>
        <w:rPr>
          <w:rFonts w:hint="eastAsia" w:ascii="Times New Roman" w:hAnsi="Times New Roman" w:eastAsia="仿宋_GB2312" w:cs="Times New Roman"/>
          <w:b w:val="0"/>
          <w:bCs/>
          <w:kern w:val="0"/>
          <w:sz w:val="32"/>
          <w:szCs w:val="32"/>
          <w:lang w:val="en-US" w:eastAsia="zh-CN"/>
        </w:rPr>
        <w:t>1、参与了德胜路、凯南一二三四巷、利民路、城南污水PPP等项目建设；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 w:val="0"/>
          <w:bCs/>
          <w:kern w:val="0"/>
          <w:sz w:val="32"/>
          <w:szCs w:val="32"/>
          <w:lang w:val="en-US" w:eastAsia="zh-CN"/>
        </w:rPr>
      </w:pPr>
      <w:r>
        <w:rPr>
          <w:rFonts w:hint="eastAsia" w:ascii="Times New Roman" w:hAnsi="Times New Roman" w:eastAsia="仿宋_GB2312" w:cs="Times New Roman"/>
          <w:b w:val="0"/>
          <w:bCs/>
          <w:kern w:val="0"/>
          <w:sz w:val="32"/>
          <w:szCs w:val="32"/>
          <w:lang w:val="en-US" w:eastAsia="zh-CN"/>
        </w:rPr>
        <w:t>2、指导了明月桥、凯旋路等项目的设计优化，对施工过程中容易出现的问题进行了分析，把问题解决在设计阶段；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 w:val="0"/>
          <w:bCs/>
          <w:kern w:val="0"/>
          <w:sz w:val="32"/>
          <w:szCs w:val="32"/>
          <w:lang w:val="en-US" w:eastAsia="zh-CN"/>
        </w:rPr>
      </w:pPr>
      <w:r>
        <w:rPr>
          <w:rFonts w:hint="eastAsia" w:ascii="Times New Roman" w:hAnsi="Times New Roman" w:eastAsia="仿宋_GB2312" w:cs="Times New Roman"/>
          <w:b w:val="0"/>
          <w:bCs/>
          <w:kern w:val="0"/>
          <w:sz w:val="32"/>
          <w:szCs w:val="32"/>
          <w:lang w:val="en-US" w:eastAsia="zh-CN"/>
        </w:rPr>
        <w:t>3、负责开展幸福路、军分区项目、开善东路等8个项目的结算、决算工作；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 w:val="0"/>
          <w:bCs/>
          <w:kern w:val="0"/>
          <w:sz w:val="32"/>
          <w:szCs w:val="32"/>
          <w:lang w:val="en-US" w:eastAsia="zh-CN"/>
        </w:rPr>
      </w:pPr>
      <w:r>
        <w:rPr>
          <w:rFonts w:hint="eastAsia" w:ascii="Times New Roman" w:hAnsi="Times New Roman" w:eastAsia="仿宋_GB2312" w:cs="Times New Roman"/>
          <w:b w:val="0"/>
          <w:bCs/>
          <w:kern w:val="0"/>
          <w:sz w:val="32"/>
          <w:szCs w:val="32"/>
          <w:lang w:val="en-US" w:eastAsia="zh-CN"/>
        </w:rPr>
        <w:t>4、组织实施了城南第二污水处理厂外泄洪通道污水渗漏排查工作；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 w:val="0"/>
          <w:bCs/>
          <w:kern w:val="0"/>
          <w:sz w:val="32"/>
          <w:szCs w:val="32"/>
          <w:lang w:val="en-US" w:eastAsia="zh-CN"/>
        </w:rPr>
      </w:pPr>
      <w:r>
        <w:rPr>
          <w:rFonts w:hint="eastAsia" w:ascii="Times New Roman" w:hAnsi="Times New Roman" w:eastAsia="仿宋_GB2312" w:cs="Times New Roman"/>
          <w:b w:val="0"/>
          <w:bCs/>
          <w:kern w:val="0"/>
          <w:sz w:val="32"/>
          <w:szCs w:val="32"/>
          <w:lang w:val="en-US" w:eastAsia="zh-CN"/>
        </w:rPr>
        <w:t>5、参与了遂宁高新区桃花山片区开发建设，完成了</w:t>
      </w:r>
      <w:r>
        <w:rPr>
          <w:rFonts w:hint="eastAsia" w:eastAsia="仿宋_GB2312" w:cs="Times New Roman"/>
          <w:b w:val="0"/>
          <w:bCs/>
          <w:kern w:val="0"/>
          <w:sz w:val="32"/>
          <w:szCs w:val="32"/>
          <w:lang w:val="en-US" w:eastAsia="zh-CN"/>
        </w:rPr>
        <w:t>市委市政府</w:t>
      </w:r>
      <w:r>
        <w:rPr>
          <w:rFonts w:hint="eastAsia" w:ascii="Times New Roman" w:hAnsi="Times New Roman" w:eastAsia="仿宋_GB2312" w:cs="Times New Roman"/>
          <w:b w:val="0"/>
          <w:bCs/>
          <w:kern w:val="0"/>
          <w:sz w:val="32"/>
          <w:szCs w:val="32"/>
          <w:lang w:val="en-US" w:eastAsia="zh-CN"/>
        </w:rPr>
        <w:t>年初下达12亿的投资任务目标；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bCs/>
          <w:kern w:val="0"/>
          <w:sz w:val="32"/>
          <w:szCs w:val="32"/>
          <w:lang w:val="en-US" w:eastAsia="zh-CN"/>
        </w:rPr>
      </w:pPr>
      <w:r>
        <w:rPr>
          <w:rFonts w:hint="eastAsia" w:ascii="Times New Roman" w:hAnsi="Times New Roman" w:eastAsia="仿宋_GB2312" w:cs="Times New Roman"/>
          <w:b w:val="0"/>
          <w:bCs/>
          <w:kern w:val="0"/>
          <w:sz w:val="32"/>
          <w:szCs w:val="32"/>
          <w:lang w:val="en-US" w:eastAsia="zh-CN"/>
        </w:rPr>
        <w:t>6</w:t>
      </w:r>
      <w:r>
        <w:rPr>
          <w:rFonts w:hint="eastAsia" w:ascii="Times New Roman" w:hAnsi="Times New Roman" w:eastAsia="仿宋_GB2312"/>
          <w:b/>
          <w:bCs w:val="0"/>
          <w:kern w:val="0"/>
          <w:sz w:val="32"/>
          <w:szCs w:val="32"/>
          <w:lang w:val="en-US" w:eastAsia="zh-CN"/>
        </w:rPr>
        <w:t>、</w:t>
      </w:r>
      <w:r>
        <w:rPr>
          <w:rFonts w:hint="eastAsia" w:ascii="Times New Roman" w:hAnsi="Times New Roman" w:eastAsia="仿宋_GB2312"/>
          <w:bCs/>
          <w:kern w:val="0"/>
          <w:sz w:val="32"/>
          <w:szCs w:val="32"/>
          <w:lang w:val="en-US" w:eastAsia="zh-CN"/>
        </w:rPr>
        <w:t>参加海绵设施设备验收，海绵城市建设复核验收等工作。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Style w:val="33"/>
          <w:rFonts w:hint="eastAsia" w:ascii="Times New Roman" w:hAnsi="Times New Roman" w:eastAsia="楷体_GB2312"/>
          <w:b/>
          <w:bCs/>
          <w:sz w:val="32"/>
          <w:szCs w:val="32"/>
          <w:lang w:val="en-US" w:eastAsia="zh-CN"/>
        </w:rPr>
      </w:pPr>
      <w:r>
        <w:rPr>
          <w:rStyle w:val="33"/>
          <w:rFonts w:hint="eastAsia" w:ascii="Times New Roman" w:hAnsi="Times New Roman" w:eastAsia="楷体_GB2312"/>
          <w:b/>
          <w:bCs/>
          <w:sz w:val="32"/>
          <w:szCs w:val="32"/>
          <w:lang w:val="en-US" w:eastAsia="zh-CN"/>
        </w:rPr>
        <w:t>（二）强化城镇燃气管理，助力行业健康发展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仿宋_GB2312"/>
          <w:bCs/>
          <w:kern w:val="0"/>
          <w:sz w:val="32"/>
          <w:szCs w:val="32"/>
          <w:lang w:val="en-US" w:eastAsia="zh-CN"/>
        </w:rPr>
      </w:pPr>
      <w:r>
        <w:rPr>
          <w:rFonts w:hint="eastAsia" w:ascii="Times New Roman" w:hAnsi="Times New Roman" w:eastAsia="仿宋_GB2312"/>
          <w:bCs/>
          <w:kern w:val="0"/>
          <w:sz w:val="32"/>
          <w:szCs w:val="32"/>
          <w:lang w:val="en-US" w:eastAsia="zh-CN"/>
        </w:rPr>
        <w:t>1、对全市68家燃气企业开展了全覆盖检查、指导；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仿宋_GB2312"/>
          <w:bCs/>
          <w:kern w:val="0"/>
          <w:sz w:val="32"/>
          <w:szCs w:val="32"/>
          <w:lang w:val="en-US" w:eastAsia="zh-CN"/>
        </w:rPr>
      </w:pPr>
      <w:r>
        <w:rPr>
          <w:rFonts w:hint="eastAsia" w:ascii="Times New Roman" w:hAnsi="Times New Roman" w:eastAsia="仿宋_GB2312"/>
          <w:bCs/>
          <w:kern w:val="0"/>
          <w:sz w:val="32"/>
          <w:szCs w:val="32"/>
          <w:lang w:val="en-US" w:eastAsia="zh-CN"/>
        </w:rPr>
        <w:t>2、组织燃气企业办证培训，全年共为燃气企业办理燃气经营许可证29家，对未取得燃气经营许可证的3家企业实施了委托管理；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仿宋_GB2312"/>
          <w:kern w:val="0"/>
          <w:sz w:val="32"/>
          <w:szCs w:val="32"/>
          <w:lang w:eastAsia="zh-CN"/>
        </w:rPr>
      </w:pPr>
      <w:r>
        <w:rPr>
          <w:rFonts w:hint="eastAsia" w:ascii="Times New Roman" w:hAnsi="Times New Roman" w:eastAsia="仿宋_GB2312"/>
          <w:bCs/>
          <w:kern w:val="0"/>
          <w:sz w:val="32"/>
          <w:szCs w:val="32"/>
          <w:lang w:val="en-US" w:eastAsia="zh-CN"/>
        </w:rPr>
        <w:t>3、优化燃气企业营商环境，</w:t>
      </w:r>
      <w:r>
        <w:rPr>
          <w:rFonts w:hint="eastAsia" w:ascii="Times New Roman" w:hAnsi="Times New Roman" w:eastAsia="仿宋_GB2312"/>
          <w:kern w:val="0"/>
          <w:sz w:val="32"/>
          <w:szCs w:val="32"/>
        </w:rPr>
        <w:t>用气报装资料由原来</w:t>
      </w:r>
      <w:r>
        <w:rPr>
          <w:rFonts w:ascii="Times New Roman" w:hAnsi="Times New Roman" w:eastAsia="仿宋_GB2312"/>
          <w:kern w:val="0"/>
          <w:sz w:val="32"/>
          <w:szCs w:val="32"/>
        </w:rPr>
        <w:t>6</w:t>
      </w:r>
      <w:r>
        <w:rPr>
          <w:rFonts w:hint="eastAsia" w:ascii="Times New Roman" w:hAnsi="Times New Roman" w:eastAsia="仿宋_GB2312"/>
          <w:kern w:val="0"/>
          <w:sz w:val="32"/>
          <w:szCs w:val="32"/>
        </w:rPr>
        <w:t>项，精减为</w:t>
      </w:r>
      <w:r>
        <w:rPr>
          <w:rFonts w:ascii="Times New Roman" w:hAnsi="Times New Roman" w:eastAsia="仿宋_GB2312"/>
          <w:kern w:val="0"/>
          <w:sz w:val="32"/>
          <w:szCs w:val="32"/>
        </w:rPr>
        <w:t>2</w:t>
      </w:r>
      <w:r>
        <w:rPr>
          <w:rFonts w:hint="eastAsia" w:ascii="Times New Roman" w:hAnsi="Times New Roman" w:eastAsia="仿宋_GB2312"/>
          <w:kern w:val="0"/>
          <w:sz w:val="32"/>
          <w:szCs w:val="32"/>
        </w:rPr>
        <w:t>项</w:t>
      </w:r>
      <w:r>
        <w:rPr>
          <w:rFonts w:hint="eastAsia" w:ascii="Times New Roman" w:hAnsi="Times New Roman" w:eastAsia="仿宋_GB2312"/>
          <w:kern w:val="0"/>
          <w:sz w:val="32"/>
          <w:szCs w:val="32"/>
          <w:lang w:eastAsia="zh-CN"/>
        </w:rPr>
        <w:t>，</w:t>
      </w:r>
      <w:r>
        <w:rPr>
          <w:rStyle w:val="33"/>
          <w:rFonts w:hint="eastAsia" w:ascii="Times New Roman" w:hAnsi="Times New Roman" w:eastAsia="仿宋_GB2312"/>
          <w:kern w:val="0"/>
          <w:sz w:val="32"/>
          <w:szCs w:val="32"/>
        </w:rPr>
        <w:t>压缩</w:t>
      </w:r>
      <w:r>
        <w:rPr>
          <w:rFonts w:hint="eastAsia" w:ascii="Times New Roman" w:hAnsi="Times New Roman" w:eastAsia="仿宋_GB2312"/>
          <w:kern w:val="0"/>
          <w:sz w:val="32"/>
          <w:szCs w:val="32"/>
        </w:rPr>
        <w:t>燃气报装时限近</w:t>
      </w:r>
      <w:r>
        <w:rPr>
          <w:rFonts w:ascii="Times New Roman" w:hAnsi="Times New Roman" w:eastAsia="仿宋_GB2312"/>
          <w:kern w:val="0"/>
          <w:sz w:val="32"/>
          <w:szCs w:val="32"/>
        </w:rPr>
        <w:t>60%</w:t>
      </w:r>
      <w:r>
        <w:rPr>
          <w:rFonts w:hint="eastAsia" w:ascii="Times New Roman" w:hAnsi="Times New Roman" w:eastAsia="仿宋_GB2312"/>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4、</w:t>
      </w:r>
      <w:r>
        <w:rPr>
          <w:rFonts w:hint="eastAsia" w:ascii="Times New Roman" w:hAnsi="Times New Roman" w:eastAsia="仿宋_GB2312"/>
          <w:kern w:val="0"/>
          <w:sz w:val="32"/>
          <w:szCs w:val="32"/>
          <w:lang w:eastAsia="zh-CN"/>
        </w:rPr>
        <w:t>组织燃气企业从业人员资格考试，通过考试人员</w:t>
      </w:r>
      <w:r>
        <w:rPr>
          <w:rFonts w:hint="eastAsia" w:ascii="Times New Roman" w:hAnsi="Times New Roman" w:eastAsia="仿宋_GB2312"/>
          <w:kern w:val="0"/>
          <w:sz w:val="32"/>
          <w:szCs w:val="32"/>
          <w:lang w:val="en-US" w:eastAsia="zh-CN"/>
        </w:rPr>
        <w:t>400余人，提高考试通过率约10个百分点。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Style w:val="33"/>
          <w:rFonts w:hint="eastAsia" w:ascii="Times New Roman" w:hAnsi="Times New Roman" w:eastAsia="楷体_GB2312"/>
          <w:b/>
          <w:bCs/>
          <w:sz w:val="32"/>
          <w:szCs w:val="32"/>
          <w:lang w:val="en-US" w:eastAsia="zh-CN"/>
        </w:rPr>
      </w:pPr>
      <w:r>
        <w:rPr>
          <w:rStyle w:val="33"/>
          <w:rFonts w:hint="eastAsia" w:ascii="Times New Roman" w:hAnsi="Times New Roman" w:eastAsia="楷体_GB2312"/>
          <w:b/>
          <w:bCs/>
          <w:sz w:val="32"/>
          <w:szCs w:val="32"/>
          <w:lang w:val="en-US" w:eastAsia="zh-CN"/>
        </w:rPr>
        <w:t>（三）强化城市安全运行，保障居民出行安全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1、开展全市窨井盖问题整治，全年共整治问题窨井盖13850个；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2、开展全市窨井盖编号工作，全年共对142960个窨井盖进行编号；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仿宋_GB2312"/>
          <w:kern w:val="0"/>
          <w:sz w:val="32"/>
          <w:szCs w:val="32"/>
          <w:lang w:val="en-US" w:eastAsia="zh-CN"/>
        </w:rPr>
      </w:pPr>
      <w:r>
        <w:rPr>
          <w:rFonts w:hint="eastAsia" w:ascii="Times New Roman" w:hAnsi="Times New Roman" w:eastAsia="仿宋_GB2312"/>
          <w:b/>
          <w:bCs/>
          <w:kern w:val="0"/>
          <w:sz w:val="32"/>
          <w:szCs w:val="32"/>
          <w:lang w:val="en-US" w:eastAsia="zh-CN"/>
        </w:rPr>
        <w:t>3、</w:t>
      </w:r>
      <w:r>
        <w:rPr>
          <w:rFonts w:hint="eastAsia" w:ascii="Times New Roman" w:hAnsi="Times New Roman" w:eastAsia="仿宋_GB2312"/>
          <w:kern w:val="0"/>
          <w:sz w:val="32"/>
          <w:szCs w:val="32"/>
          <w:lang w:val="en-US" w:eastAsia="zh-CN"/>
        </w:rPr>
        <w:t>对城市照明智能集中控制系统进行了日常维护，对漏电路灯的辖区下发了整改通知；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kern w:val="0"/>
          <w:sz w:val="32"/>
          <w:szCs w:val="32"/>
          <w:lang w:val="en-US" w:eastAsia="zh-CN"/>
        </w:rPr>
      </w:pPr>
      <w:r>
        <w:rPr>
          <w:rFonts w:hint="eastAsia" w:ascii="Times New Roman" w:hAnsi="Times New Roman" w:eastAsia="仿宋_GB2312"/>
          <w:b/>
          <w:bCs/>
          <w:kern w:val="0"/>
          <w:sz w:val="32"/>
          <w:szCs w:val="32"/>
          <w:lang w:val="en-US" w:eastAsia="zh-CN"/>
        </w:rPr>
        <w:t>4、</w:t>
      </w:r>
      <w:r>
        <w:rPr>
          <w:rFonts w:hint="eastAsia" w:ascii="Times New Roman" w:hAnsi="Times New Roman" w:eastAsia="仿宋_GB2312"/>
          <w:kern w:val="0"/>
          <w:sz w:val="32"/>
          <w:szCs w:val="32"/>
          <w:lang w:val="en-US" w:eastAsia="zh-CN"/>
        </w:rPr>
        <w:t>开展了汛期期间的汛前排查、讯中巡查、讯后核查工作，成立“中心汛期党员先锋队”，开展现场检查80余人次；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5、开展全市道路、桥梁、隧道结构性安全性能检测，组织辖区开展明月桥、渠河路北延桥等病害治理；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kern w:val="0"/>
          <w:sz w:val="32"/>
          <w:szCs w:val="32"/>
          <w:lang w:val="en-US" w:eastAsia="zh-CN"/>
        </w:rPr>
      </w:pPr>
      <w:r>
        <w:rPr>
          <w:rFonts w:hint="eastAsia" w:ascii="Times New Roman" w:hAnsi="Times New Roman" w:eastAsia="仿宋_GB2312"/>
          <w:b/>
          <w:bCs/>
          <w:kern w:val="0"/>
          <w:sz w:val="32"/>
          <w:szCs w:val="32"/>
          <w:lang w:val="en-US" w:eastAsia="zh-CN"/>
        </w:rPr>
        <w:t>6、</w:t>
      </w:r>
      <w:r>
        <w:rPr>
          <w:rFonts w:hint="eastAsia" w:ascii="Times New Roman" w:hAnsi="Times New Roman" w:eastAsia="仿宋_GB2312"/>
          <w:kern w:val="0"/>
          <w:sz w:val="32"/>
          <w:szCs w:val="32"/>
          <w:lang w:val="en-US" w:eastAsia="zh-CN"/>
        </w:rPr>
        <w:t>组织开展公园城市、城市广场等城市公共空间运行检查20余人次。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Style w:val="33"/>
          <w:rFonts w:hint="eastAsia" w:ascii="Times New Roman" w:hAnsi="Times New Roman" w:eastAsia="楷体_GB2312"/>
          <w:b/>
          <w:bCs/>
          <w:sz w:val="32"/>
          <w:szCs w:val="32"/>
          <w:lang w:val="en-US" w:eastAsia="zh-CN"/>
        </w:rPr>
      </w:pPr>
      <w:r>
        <w:rPr>
          <w:rStyle w:val="33"/>
          <w:rFonts w:hint="eastAsia" w:ascii="Times New Roman" w:hAnsi="Times New Roman" w:eastAsia="楷体_GB2312"/>
          <w:b/>
          <w:bCs/>
          <w:sz w:val="32"/>
          <w:szCs w:val="32"/>
          <w:lang w:val="en-US" w:eastAsia="zh-CN"/>
        </w:rPr>
        <w:t>（四）强化住建行业管理，指导行业健康发展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仿宋_GB2312"/>
          <w:kern w:val="0"/>
          <w:sz w:val="32"/>
          <w:szCs w:val="32"/>
          <w:lang w:val="en-US" w:eastAsia="zh-CN"/>
        </w:rPr>
      </w:pPr>
      <w:r>
        <w:rPr>
          <w:rFonts w:hint="eastAsia" w:ascii="Times New Roman" w:hAnsi="Times New Roman" w:eastAsia="仿宋_GB2312"/>
          <w:b/>
          <w:bCs/>
          <w:kern w:val="0"/>
          <w:sz w:val="32"/>
          <w:szCs w:val="32"/>
          <w:lang w:val="en-US" w:eastAsia="zh-CN"/>
        </w:rPr>
        <w:t>1、</w:t>
      </w:r>
      <w:r>
        <w:rPr>
          <w:rFonts w:hint="eastAsia" w:ascii="Times New Roman" w:hAnsi="Times New Roman" w:eastAsia="仿宋_GB2312"/>
          <w:kern w:val="0"/>
          <w:sz w:val="32"/>
          <w:szCs w:val="32"/>
          <w:lang w:val="en-US" w:eastAsia="zh-CN"/>
        </w:rPr>
        <w:t>修订《遂宁市园林绿化管理办法》、《遂宁市城市排水防涝应急预案》；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2、编制了《遂宁市城市排水防涝巨灾应急预案》；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仿宋_GB2312"/>
          <w:kern w:val="0"/>
          <w:sz w:val="32"/>
          <w:szCs w:val="32"/>
          <w:lang w:val="en-US" w:eastAsia="zh-CN"/>
        </w:rPr>
      </w:pPr>
      <w:r>
        <w:rPr>
          <w:rFonts w:hint="eastAsia" w:ascii="Times New Roman" w:hAnsi="Times New Roman" w:eastAsia="仿宋_GB2312"/>
          <w:b/>
          <w:bCs/>
          <w:kern w:val="0"/>
          <w:sz w:val="32"/>
          <w:szCs w:val="32"/>
          <w:lang w:val="en-US" w:eastAsia="zh-CN"/>
        </w:rPr>
        <w:t>3、</w:t>
      </w:r>
      <w:r>
        <w:rPr>
          <w:rFonts w:hint="eastAsia" w:ascii="Times New Roman" w:hAnsi="Times New Roman" w:eastAsia="仿宋_GB2312"/>
          <w:kern w:val="0"/>
          <w:sz w:val="32"/>
          <w:szCs w:val="32"/>
          <w:lang w:val="en-US" w:eastAsia="zh-CN"/>
        </w:rPr>
        <w:t>组织船山区、经开区开展了老城区管网梳理，打通了城市上下游污水管网“最后一公里”瓶颈；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仿宋_GB2312"/>
          <w:kern w:val="0"/>
          <w:sz w:val="32"/>
          <w:szCs w:val="32"/>
          <w:lang w:val="en-US" w:eastAsia="zh-CN"/>
        </w:rPr>
      </w:pPr>
      <w:r>
        <w:rPr>
          <w:rFonts w:hint="eastAsia" w:ascii="Times New Roman" w:hAnsi="Times New Roman" w:eastAsia="仿宋_GB2312"/>
          <w:b/>
          <w:bCs/>
          <w:kern w:val="0"/>
          <w:sz w:val="32"/>
          <w:szCs w:val="32"/>
          <w:lang w:val="en-US" w:eastAsia="zh-CN"/>
        </w:rPr>
        <w:t>4、</w:t>
      </w:r>
      <w:r>
        <w:rPr>
          <w:rFonts w:hint="eastAsia" w:ascii="Times New Roman" w:hAnsi="Times New Roman" w:eastAsia="仿宋_GB2312"/>
          <w:kern w:val="0"/>
          <w:sz w:val="32"/>
          <w:szCs w:val="32"/>
          <w:lang w:val="en-US" w:eastAsia="zh-CN"/>
        </w:rPr>
        <w:t>通过“多督合一”、专项检查、节前检查、专项业务指导等方式开展行业检查、指导120余次。</w:t>
      </w:r>
    </w:p>
    <w:p>
      <w:pPr>
        <w:pStyle w:val="2"/>
        <w:rPr>
          <w:rFonts w:hint="eastAsia" w:ascii="Times New Roman" w:hAnsi="Times New Roman" w:eastAsia="仿宋_GB2312"/>
          <w:kern w:val="0"/>
          <w:sz w:val="32"/>
          <w:szCs w:val="32"/>
          <w:lang w:val="en-US" w:eastAsia="zh-CN"/>
        </w:rPr>
      </w:pPr>
    </w:p>
    <w:p>
      <w:pPr>
        <w:pStyle w:val="2"/>
        <w:rPr>
          <w:rFonts w:hint="eastAsia" w:ascii="Times New Roman" w:hAnsi="Times New Roman" w:eastAsia="仿宋_GB2312"/>
          <w:kern w:val="0"/>
          <w:sz w:val="32"/>
          <w:szCs w:val="32"/>
          <w:lang w:val="en-US" w:eastAsia="zh-CN"/>
        </w:rPr>
      </w:pPr>
    </w:p>
    <w:p>
      <w:pPr>
        <w:pStyle w:val="2"/>
        <w:rPr>
          <w:rFonts w:hint="eastAsia" w:ascii="Times New Roman" w:hAnsi="Times New Roman" w:eastAsia="仿宋_GB2312"/>
          <w:kern w:val="0"/>
          <w:sz w:val="32"/>
          <w:szCs w:val="32"/>
          <w:lang w:val="en-US" w:eastAsia="zh-CN"/>
        </w:rPr>
      </w:pPr>
    </w:p>
    <w:p>
      <w:pPr>
        <w:pStyle w:val="2"/>
        <w:rPr>
          <w:rFonts w:hint="eastAsia" w:ascii="Times New Roman" w:hAnsi="Times New Roman" w:eastAsia="仿宋_GB2312"/>
          <w:kern w:val="0"/>
          <w:sz w:val="32"/>
          <w:szCs w:val="32"/>
          <w:lang w:val="en-US" w:eastAsia="zh-CN"/>
        </w:rPr>
      </w:pPr>
    </w:p>
    <w:p>
      <w:pPr>
        <w:pStyle w:val="2"/>
        <w:rPr>
          <w:rFonts w:hint="eastAsia" w:ascii="Times New Roman" w:hAnsi="Times New Roman" w:eastAsia="仿宋_GB2312"/>
          <w:kern w:val="0"/>
          <w:sz w:val="32"/>
          <w:szCs w:val="32"/>
          <w:lang w:val="en-US" w:eastAsia="zh-CN"/>
        </w:rPr>
      </w:pPr>
    </w:p>
    <w:p>
      <w:pPr>
        <w:pStyle w:val="2"/>
        <w:rPr>
          <w:rFonts w:hint="eastAsia" w:ascii="Times New Roman" w:hAnsi="Times New Roman" w:eastAsia="仿宋_GB2312"/>
          <w:kern w:val="0"/>
          <w:sz w:val="32"/>
          <w:szCs w:val="32"/>
          <w:lang w:val="en-US" w:eastAsia="zh-CN"/>
        </w:rPr>
      </w:pPr>
    </w:p>
    <w:p>
      <w:pPr>
        <w:pStyle w:val="2"/>
        <w:rPr>
          <w:rFonts w:hint="eastAsia" w:ascii="Times New Roman" w:hAnsi="Times New Roman" w:eastAsia="仿宋_GB2312"/>
          <w:kern w:val="0"/>
          <w:sz w:val="32"/>
          <w:szCs w:val="32"/>
          <w:lang w:val="en-US" w:eastAsia="zh-CN"/>
        </w:rPr>
      </w:pPr>
    </w:p>
    <w:p>
      <w:pPr>
        <w:pStyle w:val="3"/>
        <w:ind w:right="440"/>
        <w:jc w:val="center"/>
        <w:rPr>
          <w:rStyle w:val="25"/>
          <w:rFonts w:ascii="黑体" w:hAnsi="黑体" w:eastAsia="黑体"/>
          <w:b w:val="0"/>
          <w:bCs/>
          <w:color w:val="auto"/>
          <w:highlight w:val="none"/>
        </w:rPr>
      </w:pPr>
      <w:bookmarkStart w:id="16" w:name="_Toc15396602"/>
      <w:bookmarkStart w:id="17"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5"/>
          <w:rFonts w:hint="eastAsia" w:ascii="黑体" w:hAnsi="黑体" w:eastAsia="黑体"/>
          <w:b w:val="0"/>
          <w:bCs/>
          <w:color w:val="auto"/>
          <w:highlight w:val="none"/>
          <w:lang w:eastAsia="zh-CN"/>
        </w:rPr>
        <w:t>单位</w:t>
      </w:r>
      <w:r>
        <w:rPr>
          <w:rStyle w:val="25"/>
          <w:rFonts w:hint="eastAsia" w:ascii="黑体" w:hAnsi="黑体" w:eastAsia="黑体"/>
          <w:b w:val="0"/>
          <w:bCs/>
          <w:color w:val="auto"/>
          <w:highlight w:val="none"/>
        </w:rPr>
        <w:t>决算情况说明</w:t>
      </w:r>
      <w:bookmarkEnd w:id="16"/>
      <w:bookmarkEnd w:id="17"/>
    </w:p>
    <w:p>
      <w:pPr>
        <w:rPr>
          <w:color w:val="auto"/>
          <w:highlight w:val="none"/>
        </w:rPr>
      </w:pPr>
    </w:p>
    <w:p>
      <w:pPr>
        <w:pStyle w:val="24"/>
        <w:numPr>
          <w:ilvl w:val="0"/>
          <w:numId w:val="1"/>
        </w:numPr>
        <w:spacing w:line="600" w:lineRule="exact"/>
        <w:ind w:firstLineChars="0"/>
        <w:outlineLvl w:val="1"/>
        <w:rPr>
          <w:rStyle w:val="26"/>
          <w:rFonts w:ascii="黑体" w:hAnsi="黑体" w:eastAsia="黑体"/>
          <w:b w:val="0"/>
          <w:color w:val="auto"/>
          <w:highlight w:val="none"/>
        </w:rPr>
      </w:pPr>
      <w:bookmarkStart w:id="18" w:name="_Toc15396603"/>
      <w:bookmarkStart w:id="19" w:name="_Toc15377205"/>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入支出决算总体情况说明</w:t>
      </w:r>
      <w:bookmarkEnd w:id="18"/>
      <w:bookmarkEnd w:id="19"/>
    </w:p>
    <w:p>
      <w:pPr>
        <w:spacing w:line="600" w:lineRule="exact"/>
        <w:ind w:firstLine="640"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w:t>
      </w:r>
      <w:r>
        <w:rPr>
          <w:rFonts w:hint="eastAsia" w:ascii="仿宋" w:hAnsi="仿宋" w:eastAsia="仿宋"/>
          <w:color w:val="auto"/>
          <w:sz w:val="32"/>
          <w:szCs w:val="32"/>
          <w:highlight w:val="none"/>
          <w:lang w:val="en-US" w:eastAsia="zh-CN"/>
        </w:rPr>
        <w:t>入</w:t>
      </w:r>
      <w:r>
        <w:rPr>
          <w:rFonts w:hint="eastAsia" w:ascii="仿宋" w:hAnsi="仿宋" w:eastAsia="仿宋"/>
          <w:color w:val="auto"/>
          <w:sz w:val="32"/>
          <w:szCs w:val="32"/>
          <w:highlight w:val="none"/>
        </w:rPr>
        <w:t>、支</w:t>
      </w:r>
      <w:r>
        <w:rPr>
          <w:rFonts w:hint="eastAsia" w:ascii="仿宋" w:hAnsi="仿宋" w:eastAsia="仿宋"/>
          <w:color w:val="auto"/>
          <w:sz w:val="32"/>
          <w:szCs w:val="32"/>
          <w:highlight w:val="none"/>
          <w:lang w:val="en-US" w:eastAsia="zh-CN"/>
        </w:rPr>
        <w:t>出</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val="en-US" w:eastAsia="zh-CN"/>
        </w:rPr>
        <w:t>295.05</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w:t>
      </w:r>
      <w:r>
        <w:rPr>
          <w:rFonts w:hint="eastAsia" w:ascii="仿宋" w:hAnsi="仿宋" w:eastAsia="仿宋"/>
          <w:color w:val="auto"/>
          <w:sz w:val="32"/>
          <w:szCs w:val="32"/>
          <w:highlight w:val="none"/>
          <w:lang w:val="en-US" w:eastAsia="zh-CN"/>
        </w:rPr>
        <w:t>入</w:t>
      </w:r>
      <w:r>
        <w:rPr>
          <w:rFonts w:hint="eastAsia" w:ascii="仿宋" w:hAnsi="仿宋" w:eastAsia="仿宋"/>
          <w:color w:val="auto"/>
          <w:sz w:val="32"/>
          <w:szCs w:val="32"/>
          <w:highlight w:val="none"/>
        </w:rPr>
        <w:t>、支</w:t>
      </w:r>
      <w:r>
        <w:rPr>
          <w:rFonts w:hint="eastAsia" w:ascii="仿宋" w:hAnsi="仿宋" w:eastAsia="仿宋"/>
          <w:color w:val="auto"/>
          <w:sz w:val="32"/>
          <w:szCs w:val="32"/>
          <w:highlight w:val="none"/>
          <w:lang w:val="en-US" w:eastAsia="zh-CN"/>
        </w:rPr>
        <w:t>出</w:t>
      </w:r>
      <w:r>
        <w:rPr>
          <w:rFonts w:hint="eastAsia" w:ascii="仿宋" w:hAnsi="仿宋" w:eastAsia="仿宋"/>
          <w:color w:val="auto"/>
          <w:sz w:val="32"/>
          <w:szCs w:val="32"/>
          <w:highlight w:val="none"/>
        </w:rPr>
        <w:t>总计减少</w:t>
      </w:r>
      <w:r>
        <w:rPr>
          <w:rFonts w:hint="eastAsia" w:ascii="仿宋" w:hAnsi="仿宋" w:eastAsia="仿宋"/>
          <w:color w:val="auto"/>
          <w:sz w:val="32"/>
          <w:szCs w:val="32"/>
          <w:highlight w:val="none"/>
          <w:lang w:val="en-US" w:eastAsia="zh-CN"/>
        </w:rPr>
        <w:t>698.02</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57.73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val="en-US" w:eastAsia="zh-CN"/>
        </w:rPr>
        <w:t>为2020年清算2019年在职人员支出106.18万元、清算2019年退休人员支出92.78万元；2021年项目支出减少，其中：减少城市环卫支出-苗圃建设110.77万元，减少2018年、2019年结转项目支出301.18万元，减少城区雨污管网清淤病灶排查服务项目110.10万元。</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spacing w:line="600" w:lineRule="exact"/>
        <w:ind w:firstLine="640" w:firstLineChars="20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drawing>
          <wp:anchor distT="0" distB="0" distL="114300" distR="114300" simplePos="0" relativeHeight="251668480" behindDoc="0" locked="0" layoutInCell="1" allowOverlap="1">
            <wp:simplePos x="0" y="0"/>
            <wp:positionH relativeFrom="column">
              <wp:posOffset>763270</wp:posOffset>
            </wp:positionH>
            <wp:positionV relativeFrom="paragraph">
              <wp:posOffset>33020</wp:posOffset>
            </wp:positionV>
            <wp:extent cx="3993515" cy="3028950"/>
            <wp:effectExtent l="4445" t="4445" r="21590" b="14605"/>
            <wp:wrapNone/>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6"/>
        <w:rPr>
          <w:rFonts w:ascii="仿宋_GB2312" w:eastAsia="仿宋_GB2312"/>
          <w:color w:val="auto"/>
          <w:sz w:val="32"/>
          <w:szCs w:val="32"/>
          <w:highlight w:val="none"/>
        </w:rPr>
      </w:pPr>
    </w:p>
    <w:p>
      <w:pPr>
        <w:pStyle w:val="6"/>
        <w:rPr>
          <w:rFonts w:ascii="仿宋_GB2312" w:eastAsia="仿宋_GB2312"/>
          <w:color w:val="auto"/>
          <w:sz w:val="32"/>
          <w:szCs w:val="32"/>
          <w:highlight w:val="none"/>
        </w:rPr>
      </w:pPr>
    </w:p>
    <w:p>
      <w:pPr>
        <w:pStyle w:val="6"/>
        <w:rPr>
          <w:rFonts w:ascii="仿宋_GB2312" w:eastAsia="仿宋_GB2312"/>
          <w:color w:val="auto"/>
          <w:sz w:val="32"/>
          <w:szCs w:val="32"/>
          <w:highlight w:val="none"/>
        </w:rPr>
      </w:pPr>
    </w:p>
    <w:p>
      <w:pPr>
        <w:pStyle w:val="6"/>
        <w:rPr>
          <w:rFonts w:ascii="仿宋_GB2312" w:eastAsia="仿宋_GB2312"/>
          <w:color w:val="auto"/>
          <w:sz w:val="32"/>
          <w:szCs w:val="32"/>
          <w:highlight w:val="none"/>
        </w:rPr>
      </w:pPr>
    </w:p>
    <w:p>
      <w:pPr>
        <w:pStyle w:val="6"/>
        <w:rPr>
          <w:rFonts w:ascii="仿宋_GB2312" w:eastAsia="仿宋_GB2312"/>
          <w:color w:val="auto"/>
          <w:sz w:val="32"/>
          <w:szCs w:val="32"/>
          <w:highlight w:val="none"/>
        </w:rPr>
      </w:pPr>
    </w:p>
    <w:p>
      <w:pPr>
        <w:pStyle w:val="6"/>
        <w:rPr>
          <w:rFonts w:ascii="仿宋_GB2312" w:eastAsia="仿宋_GB2312"/>
          <w:color w:val="auto"/>
          <w:sz w:val="32"/>
          <w:szCs w:val="32"/>
          <w:highlight w:val="none"/>
        </w:rPr>
      </w:pPr>
    </w:p>
    <w:p>
      <w:pPr>
        <w:pStyle w:val="24"/>
        <w:numPr>
          <w:ilvl w:val="0"/>
          <w:numId w:val="1"/>
        </w:numPr>
        <w:spacing w:line="600" w:lineRule="exact"/>
        <w:ind w:firstLineChars="0"/>
        <w:outlineLvl w:val="1"/>
        <w:rPr>
          <w:rStyle w:val="26"/>
          <w:rFonts w:ascii="黑体" w:hAnsi="黑体" w:eastAsia="黑体"/>
          <w:b w:val="0"/>
          <w:color w:val="auto"/>
          <w:highlight w:val="none"/>
        </w:rPr>
      </w:pPr>
      <w:bookmarkStart w:id="20" w:name="_Toc15396604"/>
      <w:bookmarkStart w:id="21" w:name="_Toc15377206"/>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289.00</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245.50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84.95</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；其他收入43.5</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15.05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spacing w:line="60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696595</wp:posOffset>
            </wp:positionH>
            <wp:positionV relativeFrom="paragraph">
              <wp:posOffset>31750</wp:posOffset>
            </wp:positionV>
            <wp:extent cx="3956050" cy="2734945"/>
            <wp:effectExtent l="4445" t="4445" r="20955" b="2286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6"/>
        <w:rPr>
          <w:rFonts w:hint="eastAsia" w:ascii="仿宋_GB2312" w:eastAsia="仿宋_GB2312"/>
          <w:color w:val="auto"/>
          <w:sz w:val="32"/>
          <w:szCs w:val="32"/>
          <w:highlight w:val="none"/>
          <w:lang w:eastAsia="zh-CN"/>
        </w:rPr>
      </w:pPr>
    </w:p>
    <w:p>
      <w:pPr>
        <w:pStyle w:val="6"/>
        <w:rPr>
          <w:rFonts w:hint="eastAsia" w:ascii="仿宋_GB2312" w:eastAsia="仿宋_GB2312"/>
          <w:color w:val="auto"/>
          <w:sz w:val="32"/>
          <w:szCs w:val="32"/>
          <w:highlight w:val="none"/>
          <w:lang w:eastAsia="zh-CN"/>
        </w:rPr>
      </w:pPr>
      <w:r>
        <w:rPr>
          <w:sz w:val="32"/>
        </w:rPr>
        <mc:AlternateContent>
          <mc:Choice Requires="wps">
            <w:drawing>
              <wp:anchor distT="0" distB="0" distL="114300" distR="114300" simplePos="0" relativeHeight="251663360" behindDoc="0" locked="0" layoutInCell="1" allowOverlap="1">
                <wp:simplePos x="0" y="0"/>
                <wp:positionH relativeFrom="column">
                  <wp:posOffset>2004060</wp:posOffset>
                </wp:positionH>
                <wp:positionV relativeFrom="paragraph">
                  <wp:posOffset>55245</wp:posOffset>
                </wp:positionV>
                <wp:extent cx="771525" cy="314325"/>
                <wp:effectExtent l="0" t="0" r="0" b="0"/>
                <wp:wrapNone/>
                <wp:docPr id="11" name="矩形 11"/>
                <wp:cNvGraphicFramePr/>
                <a:graphic xmlns:a="http://schemas.openxmlformats.org/drawingml/2006/main">
                  <a:graphicData uri="http://schemas.microsoft.com/office/word/2010/wordprocessingShape">
                    <wps:wsp>
                      <wps:cNvSpPr/>
                      <wps:spPr>
                        <a:xfrm>
                          <a:off x="0" y="0"/>
                          <a:ext cx="771525" cy="314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both"/>
                              <w:rPr>
                                <w:rFonts w:hint="default" w:ascii="Arial Narrow" w:hAnsi="Arial Narrow" w:eastAsia="宋体" w:cs="Arial Narrow"/>
                                <w:b/>
                                <w:bCs/>
                                <w:color w:val="auto"/>
                                <w:sz w:val="20"/>
                                <w:szCs w:val="20"/>
                                <w:highlight w:val="black"/>
                                <w:lang w:val="en-US" w:eastAsia="zh-CN"/>
                              </w:rPr>
                            </w:pPr>
                            <w:r>
                              <w:rPr>
                                <w:rFonts w:hint="eastAsia" w:ascii="Arial Narrow" w:hAnsi="Arial Narrow" w:cs="Arial Narrow"/>
                                <w:b/>
                                <w:bCs/>
                                <w:color w:val="auto"/>
                                <w:sz w:val="20"/>
                                <w:szCs w:val="20"/>
                                <w:highlight w:val="black"/>
                                <w:lang w:val="en-US" w:eastAsia="zh-CN"/>
                              </w:rPr>
                              <w:t>43.05</w:t>
                            </w:r>
                            <w:r>
                              <w:rPr>
                                <w:rFonts w:hint="default" w:ascii="Arial Narrow" w:hAnsi="Arial Narrow" w:cs="Arial Narrow"/>
                                <w:b/>
                                <w:bCs/>
                                <w:color w:val="auto"/>
                                <w:sz w:val="20"/>
                                <w:szCs w:val="20"/>
                                <w:highlight w:val="black"/>
                                <w:lang w:val="en-US" w:eastAsia="zh-CN"/>
                              </w:rPr>
                              <w:t>万元</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7.8pt;margin-top:4.35pt;height:24.75pt;width:60.75pt;z-index:251663360;v-text-anchor:middle;mso-width-relative:page;mso-height-relative:page;" filled="f" stroked="f" coordsize="21600,21600" o:gfxdata="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PLfkz2AAAAAgBAAAP&#10;AAAAAAAAAAEAIAAAACIAAABkcnMvZG93bnJldi54bWxQSwECFAAUAAAACACHTuJAizwFcVECAACX&#10;BAAADgAAAAAAAAABACAAAAAnAQAAZHJzL2Uyb0RvYy54bWxQSwUGAAAAAAYABgBZAQAA6gUAAAAA&#10;">
                <v:fill on="f" focussize="0,0"/>
                <v:stroke on="f" weight="2pt"/>
                <v:imagedata o:title=""/>
                <o:lock v:ext="edit" aspectratio="f"/>
                <v:textbox>
                  <w:txbxContent>
                    <w:p>
                      <w:pPr>
                        <w:jc w:val="both"/>
                        <w:rPr>
                          <w:rFonts w:hint="default" w:ascii="Arial Narrow" w:hAnsi="Arial Narrow" w:eastAsia="宋体" w:cs="Arial Narrow"/>
                          <w:b/>
                          <w:bCs/>
                          <w:color w:val="auto"/>
                          <w:sz w:val="20"/>
                          <w:szCs w:val="20"/>
                          <w:highlight w:val="black"/>
                          <w:lang w:val="en-US" w:eastAsia="zh-CN"/>
                        </w:rPr>
                      </w:pPr>
                      <w:r>
                        <w:rPr>
                          <w:rFonts w:hint="eastAsia" w:ascii="Arial Narrow" w:hAnsi="Arial Narrow" w:cs="Arial Narrow"/>
                          <w:b/>
                          <w:bCs/>
                          <w:color w:val="auto"/>
                          <w:sz w:val="20"/>
                          <w:szCs w:val="20"/>
                          <w:highlight w:val="black"/>
                          <w:lang w:val="en-US" w:eastAsia="zh-CN"/>
                        </w:rPr>
                        <w:t>43.05</w:t>
                      </w:r>
                      <w:r>
                        <w:rPr>
                          <w:rFonts w:hint="default" w:ascii="Arial Narrow" w:hAnsi="Arial Narrow" w:cs="Arial Narrow"/>
                          <w:b/>
                          <w:bCs/>
                          <w:color w:val="auto"/>
                          <w:sz w:val="20"/>
                          <w:szCs w:val="20"/>
                          <w:highlight w:val="black"/>
                          <w:lang w:val="en-US" w:eastAsia="zh-CN"/>
                        </w:rPr>
                        <w:t>万元</w:t>
                      </w:r>
                    </w:p>
                  </w:txbxContent>
                </v:textbox>
              </v:rect>
            </w:pict>
          </mc:Fallback>
        </mc:AlternateContent>
      </w:r>
    </w:p>
    <w:p>
      <w:pPr>
        <w:pStyle w:val="6"/>
        <w:rPr>
          <w:rFonts w:hint="eastAsia" w:ascii="仿宋_GB2312" w:eastAsia="仿宋_GB2312"/>
          <w:color w:val="auto"/>
          <w:sz w:val="32"/>
          <w:szCs w:val="32"/>
          <w:highlight w:val="none"/>
          <w:lang w:eastAsia="zh-CN"/>
        </w:rPr>
      </w:pPr>
    </w:p>
    <w:p>
      <w:pPr>
        <w:pStyle w:val="6"/>
        <w:rPr>
          <w:rFonts w:hint="eastAsia" w:ascii="仿宋_GB2312" w:eastAsia="仿宋_GB2312"/>
          <w:color w:val="auto"/>
          <w:sz w:val="32"/>
          <w:szCs w:val="32"/>
          <w:highlight w:val="none"/>
          <w:lang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2232660</wp:posOffset>
                </wp:positionH>
                <wp:positionV relativeFrom="paragraph">
                  <wp:posOffset>133985</wp:posOffset>
                </wp:positionV>
                <wp:extent cx="1123315" cy="314325"/>
                <wp:effectExtent l="0" t="0" r="0" b="0"/>
                <wp:wrapNone/>
                <wp:docPr id="2" name="矩形 2"/>
                <wp:cNvGraphicFramePr/>
                <a:graphic xmlns:a="http://schemas.openxmlformats.org/drawingml/2006/main">
                  <a:graphicData uri="http://schemas.microsoft.com/office/word/2010/wordprocessingShape">
                    <wps:wsp>
                      <wps:cNvSpPr/>
                      <wps:spPr>
                        <a:xfrm>
                          <a:off x="3651885" y="7901305"/>
                          <a:ext cx="1123315" cy="314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Arial Narrow" w:hAnsi="Arial Narrow" w:eastAsia="宋体" w:cs="Arial Narrow"/>
                                <w:b/>
                                <w:bCs/>
                                <w:color w:val="auto"/>
                                <w:sz w:val="20"/>
                                <w:szCs w:val="20"/>
                                <w:highlight w:val="black"/>
                                <w:lang w:val="en-US" w:eastAsia="zh-CN"/>
                              </w:rPr>
                            </w:pPr>
                            <w:r>
                              <w:rPr>
                                <w:rFonts w:hint="default" w:ascii="Arial Narrow" w:hAnsi="Arial Narrow" w:cs="Arial Narrow"/>
                                <w:b/>
                                <w:bCs/>
                                <w:color w:val="auto"/>
                                <w:sz w:val="20"/>
                                <w:szCs w:val="20"/>
                                <w:highlight w:val="black"/>
                                <w:lang w:val="en-US" w:eastAsia="zh-CN"/>
                              </w:rPr>
                              <w:t>2</w:t>
                            </w:r>
                            <w:r>
                              <w:rPr>
                                <w:rFonts w:hint="eastAsia" w:ascii="Arial Narrow" w:hAnsi="Arial Narrow" w:cs="Arial Narrow"/>
                                <w:b/>
                                <w:bCs/>
                                <w:color w:val="auto"/>
                                <w:sz w:val="20"/>
                                <w:szCs w:val="20"/>
                                <w:highlight w:val="black"/>
                                <w:lang w:val="en-US" w:eastAsia="zh-CN"/>
                              </w:rPr>
                              <w:t>45.</w:t>
                            </w:r>
                            <w:r>
                              <w:rPr>
                                <w:rFonts w:hint="default" w:ascii="Arial Narrow" w:hAnsi="Arial Narrow" w:cs="Arial Narrow"/>
                                <w:b/>
                                <w:bCs/>
                                <w:color w:val="auto"/>
                                <w:sz w:val="20"/>
                                <w:szCs w:val="20"/>
                                <w:highlight w:val="black"/>
                                <w:lang w:val="en-US" w:eastAsia="zh-CN"/>
                              </w:rPr>
                              <w:t>5</w:t>
                            </w:r>
                            <w:r>
                              <w:rPr>
                                <w:rFonts w:hint="eastAsia" w:ascii="Arial Narrow" w:hAnsi="Arial Narrow" w:cs="Arial Narrow"/>
                                <w:b/>
                                <w:bCs/>
                                <w:color w:val="auto"/>
                                <w:sz w:val="20"/>
                                <w:szCs w:val="20"/>
                                <w:highlight w:val="black"/>
                                <w:lang w:val="en-US" w:eastAsia="zh-CN"/>
                              </w:rPr>
                              <w:t>0</w:t>
                            </w:r>
                            <w:r>
                              <w:rPr>
                                <w:rFonts w:hint="default" w:ascii="Arial Narrow" w:hAnsi="Arial Narrow" w:cs="Arial Narrow"/>
                                <w:b/>
                                <w:bCs/>
                                <w:color w:val="auto"/>
                                <w:sz w:val="20"/>
                                <w:szCs w:val="20"/>
                                <w:highlight w:val="black"/>
                                <w:lang w:val="en-US" w:eastAsia="zh-CN"/>
                              </w:rPr>
                              <w:t>万元</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5.8pt;margin-top:10.55pt;height:24.75pt;width:88.45pt;z-index:251661312;v-text-anchor:middle;mso-width-relative:page;mso-height-relative:page;" filled="f" stroked="f" coordsize="21600,21600" o:gfxdata="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qi1iHdgAAAAJAQAADwAAAAAAAAABACAAAAAiAAAAZHJzL2Rvd25yZXYueG1sUEsBAhQAFAAA&#10;AAgAh07iQIxGmihhAgAAogQAAA4AAAAAAAAAAQAgAAAAJwEAAGRycy9lMm9Eb2MueG1sUEsFBgAA&#10;AAAGAAYAWQEAAPoFAAAAAA==&#10;">
                <v:fill on="f" focussize="0,0"/>
                <v:stroke on="f" weight="2pt"/>
                <v:imagedata o:title=""/>
                <o:lock v:ext="edit" aspectratio="f"/>
                <v:textbox>
                  <w:txbxContent>
                    <w:p>
                      <w:pPr>
                        <w:jc w:val="center"/>
                        <w:rPr>
                          <w:rFonts w:hint="default" w:ascii="Arial Narrow" w:hAnsi="Arial Narrow" w:eastAsia="宋体" w:cs="Arial Narrow"/>
                          <w:b/>
                          <w:bCs/>
                          <w:color w:val="auto"/>
                          <w:sz w:val="20"/>
                          <w:szCs w:val="20"/>
                          <w:highlight w:val="black"/>
                          <w:lang w:val="en-US" w:eastAsia="zh-CN"/>
                        </w:rPr>
                      </w:pPr>
                      <w:r>
                        <w:rPr>
                          <w:rFonts w:hint="default" w:ascii="Arial Narrow" w:hAnsi="Arial Narrow" w:cs="Arial Narrow"/>
                          <w:b/>
                          <w:bCs/>
                          <w:color w:val="auto"/>
                          <w:sz w:val="20"/>
                          <w:szCs w:val="20"/>
                          <w:highlight w:val="black"/>
                          <w:lang w:val="en-US" w:eastAsia="zh-CN"/>
                        </w:rPr>
                        <w:t>2</w:t>
                      </w:r>
                      <w:r>
                        <w:rPr>
                          <w:rFonts w:hint="eastAsia" w:ascii="Arial Narrow" w:hAnsi="Arial Narrow" w:cs="Arial Narrow"/>
                          <w:b/>
                          <w:bCs/>
                          <w:color w:val="auto"/>
                          <w:sz w:val="20"/>
                          <w:szCs w:val="20"/>
                          <w:highlight w:val="black"/>
                          <w:lang w:val="en-US" w:eastAsia="zh-CN"/>
                        </w:rPr>
                        <w:t>45.</w:t>
                      </w:r>
                      <w:r>
                        <w:rPr>
                          <w:rFonts w:hint="default" w:ascii="Arial Narrow" w:hAnsi="Arial Narrow" w:cs="Arial Narrow"/>
                          <w:b/>
                          <w:bCs/>
                          <w:color w:val="auto"/>
                          <w:sz w:val="20"/>
                          <w:szCs w:val="20"/>
                          <w:highlight w:val="black"/>
                          <w:lang w:val="en-US" w:eastAsia="zh-CN"/>
                        </w:rPr>
                        <w:t>5</w:t>
                      </w:r>
                      <w:r>
                        <w:rPr>
                          <w:rFonts w:hint="eastAsia" w:ascii="Arial Narrow" w:hAnsi="Arial Narrow" w:cs="Arial Narrow"/>
                          <w:b/>
                          <w:bCs/>
                          <w:color w:val="auto"/>
                          <w:sz w:val="20"/>
                          <w:szCs w:val="20"/>
                          <w:highlight w:val="black"/>
                          <w:lang w:val="en-US" w:eastAsia="zh-CN"/>
                        </w:rPr>
                        <w:t>0</w:t>
                      </w:r>
                      <w:r>
                        <w:rPr>
                          <w:rFonts w:hint="default" w:ascii="Arial Narrow" w:hAnsi="Arial Narrow" w:cs="Arial Narrow"/>
                          <w:b/>
                          <w:bCs/>
                          <w:color w:val="auto"/>
                          <w:sz w:val="20"/>
                          <w:szCs w:val="20"/>
                          <w:highlight w:val="black"/>
                          <w:lang w:val="en-US" w:eastAsia="zh-CN"/>
                        </w:rPr>
                        <w:t>万元</w:t>
                      </w:r>
                    </w:p>
                  </w:txbxContent>
                </v:textbox>
              </v:rect>
            </w:pict>
          </mc:Fallback>
        </mc:AlternateContent>
      </w:r>
    </w:p>
    <w:p>
      <w:pPr>
        <w:pStyle w:val="6"/>
        <w:rPr>
          <w:rFonts w:hint="eastAsia" w:ascii="仿宋_GB2312" w:eastAsia="仿宋_GB2312"/>
          <w:color w:val="auto"/>
          <w:sz w:val="32"/>
          <w:szCs w:val="32"/>
          <w:highlight w:val="none"/>
          <w:lang w:eastAsia="zh-CN"/>
        </w:rPr>
      </w:pPr>
    </w:p>
    <w:p>
      <w:pPr>
        <w:pStyle w:val="24"/>
        <w:keepNext w:val="0"/>
        <w:keepLines w:val="0"/>
        <w:pageBreakBefore w:val="0"/>
        <w:widowControl w:val="0"/>
        <w:numPr>
          <w:ilvl w:val="0"/>
          <w:numId w:val="1"/>
        </w:numPr>
        <w:kinsoku/>
        <w:wordWrap/>
        <w:overflowPunct/>
        <w:topLinePunct w:val="0"/>
        <w:autoSpaceDE/>
        <w:autoSpaceDN/>
        <w:bidi w:val="0"/>
        <w:adjustRightInd/>
        <w:snapToGrid/>
        <w:spacing w:before="157" w:beforeLines="50" w:line="600" w:lineRule="exact"/>
        <w:ind w:left="1361" w:firstLineChars="0"/>
        <w:textAlignment w:val="auto"/>
        <w:outlineLvl w:val="1"/>
        <w:rPr>
          <w:rStyle w:val="26"/>
          <w:rFonts w:ascii="黑体" w:hAnsi="黑体" w:eastAsia="黑体"/>
          <w:b w:val="0"/>
          <w:color w:val="auto"/>
          <w:highlight w:val="none"/>
        </w:rPr>
      </w:pPr>
      <w:bookmarkStart w:id="22" w:name="_Toc15396605"/>
      <w:bookmarkStart w:id="23" w:name="_Toc15377207"/>
      <w:r>
        <w:rPr>
          <w:rFonts w:hint="eastAsia" w:ascii="黑体" w:hAnsi="黑体" w:eastAsia="黑体"/>
          <w:color w:val="auto"/>
          <w:sz w:val="32"/>
          <w:szCs w:val="32"/>
          <w:highlight w:val="none"/>
        </w:rPr>
        <w:t>支</w:t>
      </w:r>
      <w:r>
        <w:rPr>
          <w:rStyle w:val="26"/>
          <w:rFonts w:hint="eastAsia" w:ascii="黑体" w:hAnsi="黑体" w:eastAsia="黑体"/>
          <w:b w:val="0"/>
          <w:color w:val="auto"/>
          <w:highlight w:val="none"/>
        </w:rPr>
        <w:t>出决算情况说明</w:t>
      </w:r>
      <w:bookmarkEnd w:id="22"/>
      <w:bookmarkEnd w:id="23"/>
    </w:p>
    <w:p>
      <w:pPr>
        <w:spacing w:line="600" w:lineRule="exact"/>
        <w:ind w:firstLine="640" w:firstLineChars="200"/>
        <w:outlineLvl w:val="1"/>
        <w:rPr>
          <w:rFonts w:ascii="仿宋" w:hAnsi="仿宋" w:eastAsia="仿宋"/>
          <w:color w:val="auto"/>
          <w:sz w:val="32"/>
          <w:szCs w:val="32"/>
          <w:highlight w:val="none"/>
          <w:shd w:val="pct10" w:color="auto" w:fill="FFFFFF"/>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295.05</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205.03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69.49</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90.02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30.51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black"/>
          <w:lang w:eastAsia="zh-CN"/>
        </w:rPr>
        <w:drawing>
          <wp:anchor distT="0" distB="0" distL="114300" distR="114300" simplePos="0" relativeHeight="251662336" behindDoc="1" locked="0" layoutInCell="1" allowOverlap="1">
            <wp:simplePos x="0" y="0"/>
            <wp:positionH relativeFrom="column">
              <wp:posOffset>1039495</wp:posOffset>
            </wp:positionH>
            <wp:positionV relativeFrom="paragraph">
              <wp:posOffset>66675</wp:posOffset>
            </wp:positionV>
            <wp:extent cx="3384550" cy="2706370"/>
            <wp:effectExtent l="4445" t="4445" r="20955" b="13335"/>
            <wp:wrapThrough wrapText="bothSides">
              <wp:wrapPolygon>
                <wp:start x="-28" y="-35"/>
                <wp:lineTo x="-28" y="21554"/>
                <wp:lineTo x="21491" y="21554"/>
                <wp:lineTo x="21491" y="-35"/>
                <wp:lineTo x="-28" y="-35"/>
              </wp:wrapPolygon>
            </wp:wrapThrough>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6"/>
        <w:rPr>
          <w:rFonts w:hint="eastAsia" w:ascii="仿宋_GB2312" w:eastAsia="仿宋_GB2312"/>
          <w:color w:val="auto"/>
          <w:sz w:val="32"/>
          <w:szCs w:val="32"/>
          <w:highlight w:val="none"/>
          <w:lang w:eastAsia="zh-CN"/>
        </w:rPr>
      </w:pPr>
    </w:p>
    <w:p>
      <w:pPr>
        <w:pStyle w:val="6"/>
        <w:rPr>
          <w:rFonts w:hint="eastAsia" w:ascii="仿宋_GB2312" w:eastAsia="仿宋_GB2312"/>
          <w:color w:val="auto"/>
          <w:sz w:val="32"/>
          <w:szCs w:val="32"/>
          <w:highlight w:val="none"/>
          <w:lang w:eastAsia="zh-CN"/>
        </w:rPr>
      </w:pPr>
    </w:p>
    <w:p>
      <w:pPr>
        <w:pStyle w:val="6"/>
        <w:rPr>
          <w:rFonts w:hint="eastAsia" w:ascii="仿宋_GB2312" w:eastAsia="仿宋_GB2312"/>
          <w:color w:val="auto"/>
          <w:sz w:val="32"/>
          <w:szCs w:val="32"/>
          <w:highlight w:val="none"/>
          <w:lang w:eastAsia="zh-CN"/>
        </w:rPr>
      </w:pPr>
    </w:p>
    <w:p>
      <w:pPr>
        <w:spacing w:line="600" w:lineRule="exact"/>
        <w:outlineLvl w:val="1"/>
        <w:rPr>
          <w:rFonts w:hint="eastAsia" w:ascii="黑体" w:hAnsi="黑体" w:eastAsia="黑体"/>
          <w:color w:val="auto"/>
          <w:sz w:val="32"/>
          <w:szCs w:val="32"/>
          <w:highlight w:val="none"/>
        </w:rPr>
      </w:pPr>
      <w:bookmarkStart w:id="24" w:name="_Toc15377208"/>
      <w:bookmarkStart w:id="25" w:name="_Toc15396606"/>
    </w:p>
    <w:p>
      <w:pPr>
        <w:pStyle w:val="2"/>
        <w:rPr>
          <w:rFonts w:hint="eastAsia" w:ascii="黑体" w:hAnsi="黑体" w:eastAsia="黑体"/>
          <w:color w:val="auto"/>
          <w:sz w:val="32"/>
          <w:szCs w:val="32"/>
          <w:highlight w:val="none"/>
        </w:rPr>
      </w:pPr>
    </w:p>
    <w:p>
      <w:pPr>
        <w:pStyle w:val="2"/>
        <w:rPr>
          <w:rFonts w:hint="eastAsia" w:ascii="黑体" w:hAnsi="黑体" w:eastAsia="黑体"/>
          <w:color w:val="auto"/>
          <w:sz w:val="32"/>
          <w:szCs w:val="32"/>
          <w:highlight w:val="none"/>
        </w:rPr>
      </w:pPr>
    </w:p>
    <w:p>
      <w:pPr>
        <w:spacing w:line="600" w:lineRule="exact"/>
        <w:ind w:firstLine="640" w:firstLineChars="200"/>
        <w:outlineLvl w:val="1"/>
        <w:rPr>
          <w:rStyle w:val="26"/>
          <w:rFonts w:ascii="黑体" w:hAnsi="黑体" w:eastAsia="黑体"/>
          <w:b w:val="0"/>
          <w:color w:val="auto"/>
          <w:highlight w:val="none"/>
        </w:rPr>
      </w:pPr>
      <w:r>
        <w:rPr>
          <w:rFonts w:hint="eastAsia" w:ascii="黑体" w:hAnsi="黑体" w:eastAsia="黑体"/>
          <w:color w:val="auto"/>
          <w:sz w:val="32"/>
          <w:szCs w:val="32"/>
          <w:highlight w:val="none"/>
        </w:rPr>
        <w:t>四、财</w:t>
      </w:r>
      <w:r>
        <w:rPr>
          <w:rStyle w:val="26"/>
          <w:rFonts w:hint="eastAsia" w:ascii="黑体" w:hAnsi="黑体" w:eastAsia="黑体"/>
          <w:b w:val="0"/>
          <w:color w:val="auto"/>
          <w:highlight w:val="none"/>
        </w:rPr>
        <w:t>政拨款收入支出决算总体情况说明</w:t>
      </w:r>
      <w:bookmarkEnd w:id="24"/>
      <w:bookmarkEnd w:id="25"/>
    </w:p>
    <w:p>
      <w:pPr>
        <w:spacing w:line="600" w:lineRule="exact"/>
        <w:ind w:firstLine="640"/>
        <w:rPr>
          <w:rFonts w:ascii="仿宋" w:hAnsi="仿宋" w:eastAsia="仿宋"/>
          <w:color w:val="auto"/>
          <w:sz w:val="32"/>
          <w:szCs w:val="32"/>
          <w:highlight w:val="yellow"/>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w:t>
      </w:r>
      <w:r>
        <w:rPr>
          <w:rFonts w:hint="eastAsia" w:ascii="仿宋" w:hAnsi="仿宋" w:eastAsia="仿宋"/>
          <w:color w:val="auto"/>
          <w:sz w:val="32"/>
          <w:szCs w:val="32"/>
          <w:highlight w:val="none"/>
          <w:lang w:val="en-US" w:eastAsia="zh-CN"/>
        </w:rPr>
        <w:t>入</w:t>
      </w:r>
      <w:r>
        <w:rPr>
          <w:rFonts w:hint="eastAsia" w:ascii="仿宋" w:hAnsi="仿宋" w:eastAsia="仿宋"/>
          <w:color w:val="auto"/>
          <w:sz w:val="32"/>
          <w:szCs w:val="32"/>
          <w:highlight w:val="none"/>
        </w:rPr>
        <w:t>、支</w:t>
      </w:r>
      <w:r>
        <w:rPr>
          <w:rFonts w:hint="eastAsia" w:ascii="仿宋" w:hAnsi="仿宋" w:eastAsia="仿宋"/>
          <w:color w:val="auto"/>
          <w:sz w:val="32"/>
          <w:szCs w:val="32"/>
          <w:highlight w:val="none"/>
          <w:lang w:val="en-US" w:eastAsia="zh-CN"/>
        </w:rPr>
        <w:t>出</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val="en-US" w:eastAsia="zh-CN"/>
        </w:rPr>
        <w:t>251.55</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w:t>
      </w:r>
      <w:r>
        <w:rPr>
          <w:rFonts w:hint="eastAsia" w:ascii="仿宋" w:hAnsi="仿宋" w:eastAsia="仿宋"/>
          <w:color w:val="auto"/>
          <w:sz w:val="32"/>
          <w:szCs w:val="32"/>
          <w:highlight w:val="none"/>
          <w:lang w:val="en-US" w:eastAsia="zh-CN"/>
        </w:rPr>
        <w:t>入</w:t>
      </w:r>
      <w:r>
        <w:rPr>
          <w:rFonts w:hint="eastAsia" w:ascii="仿宋" w:hAnsi="仿宋" w:eastAsia="仿宋"/>
          <w:color w:val="auto"/>
          <w:sz w:val="32"/>
          <w:szCs w:val="32"/>
          <w:highlight w:val="none"/>
        </w:rPr>
        <w:t>、支</w:t>
      </w:r>
      <w:r>
        <w:rPr>
          <w:rFonts w:hint="eastAsia" w:ascii="仿宋" w:hAnsi="仿宋" w:eastAsia="仿宋"/>
          <w:color w:val="auto"/>
          <w:sz w:val="32"/>
          <w:szCs w:val="32"/>
          <w:highlight w:val="none"/>
          <w:lang w:val="en-US" w:eastAsia="zh-CN"/>
        </w:rPr>
        <w:t>出</w:t>
      </w:r>
      <w:r>
        <w:rPr>
          <w:rFonts w:hint="eastAsia" w:ascii="仿宋" w:hAnsi="仿宋" w:eastAsia="仿宋"/>
          <w:color w:val="auto"/>
          <w:sz w:val="32"/>
          <w:szCs w:val="32"/>
          <w:highlight w:val="none"/>
        </w:rPr>
        <w:t>总计减少</w:t>
      </w:r>
      <w:r>
        <w:rPr>
          <w:rFonts w:hint="eastAsia" w:ascii="仿宋" w:hAnsi="仿宋" w:eastAsia="仿宋"/>
          <w:color w:val="auto"/>
          <w:sz w:val="32"/>
          <w:szCs w:val="32"/>
          <w:highlight w:val="none"/>
          <w:lang w:val="en-US" w:eastAsia="zh-CN"/>
        </w:rPr>
        <w:t>605.81</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70.66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val="en-US" w:eastAsia="zh-CN"/>
        </w:rPr>
        <w:t>为2020年清算2019年在职人员支出106.18万元、清算2019年退休人员支出92.78万元；2021年项目支出减少，其中：减少城市环卫支出-苗圃建设110.77万元，减少2018年、2019年结转项目支出301.18万元，减少城区雨污管网清淤病灶排查服务项目110.10万元。</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lang w:eastAsia="zh-CN"/>
        </w:rPr>
        <w:drawing>
          <wp:anchor distT="0" distB="0" distL="114300" distR="114300" simplePos="0" relativeHeight="251664384" behindDoc="0" locked="0" layoutInCell="1" allowOverlap="1">
            <wp:simplePos x="0" y="0"/>
            <wp:positionH relativeFrom="column">
              <wp:posOffset>896620</wp:posOffset>
            </wp:positionH>
            <wp:positionV relativeFrom="paragraph">
              <wp:posOffset>203200</wp:posOffset>
            </wp:positionV>
            <wp:extent cx="3652520" cy="2725420"/>
            <wp:effectExtent l="4445" t="4445" r="19685" b="13335"/>
            <wp:wrapNone/>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6"/>
        <w:rPr>
          <w:rFonts w:ascii="仿宋" w:hAnsi="仿宋" w:eastAsia="仿宋"/>
          <w:b/>
          <w:color w:val="auto"/>
          <w:sz w:val="32"/>
          <w:szCs w:val="32"/>
          <w:highlight w:val="none"/>
        </w:rPr>
      </w:pPr>
    </w:p>
    <w:p>
      <w:pPr>
        <w:pStyle w:val="6"/>
        <w:rPr>
          <w:rFonts w:ascii="仿宋" w:hAnsi="仿宋" w:eastAsia="仿宋"/>
          <w:b/>
          <w:color w:val="auto"/>
          <w:sz w:val="32"/>
          <w:szCs w:val="32"/>
          <w:highlight w:val="none"/>
        </w:rPr>
      </w:pPr>
    </w:p>
    <w:p>
      <w:pPr>
        <w:pStyle w:val="6"/>
        <w:rPr>
          <w:rFonts w:ascii="仿宋" w:hAnsi="仿宋" w:eastAsia="仿宋"/>
          <w:b/>
          <w:color w:val="auto"/>
          <w:sz w:val="32"/>
          <w:szCs w:val="32"/>
          <w:highlight w:val="none"/>
        </w:rPr>
      </w:pPr>
    </w:p>
    <w:p>
      <w:pPr>
        <w:pStyle w:val="6"/>
        <w:rPr>
          <w:rFonts w:ascii="仿宋" w:hAnsi="仿宋" w:eastAsia="仿宋"/>
          <w:b/>
          <w:color w:val="auto"/>
          <w:sz w:val="32"/>
          <w:szCs w:val="32"/>
          <w:highlight w:val="none"/>
        </w:rPr>
      </w:pPr>
    </w:p>
    <w:p>
      <w:pPr>
        <w:pStyle w:val="6"/>
        <w:rPr>
          <w:rFonts w:ascii="仿宋" w:hAnsi="仿宋" w:eastAsia="仿宋"/>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before="157" w:beforeLines="50" w:line="600" w:lineRule="exact"/>
        <w:ind w:firstLine="640" w:firstLineChars="200"/>
        <w:textAlignment w:val="auto"/>
        <w:outlineLvl w:val="1"/>
        <w:rPr>
          <w:rFonts w:hint="eastAsia" w:ascii="黑体" w:hAnsi="黑体" w:eastAsia="黑体"/>
          <w:color w:val="auto"/>
          <w:sz w:val="32"/>
          <w:szCs w:val="32"/>
          <w:highlight w:val="none"/>
        </w:rPr>
      </w:pPr>
      <w:bookmarkStart w:id="26" w:name="_Toc15377209"/>
      <w:bookmarkStart w:id="27" w:name="_Toc15396607"/>
    </w:p>
    <w:p>
      <w:pPr>
        <w:keepNext w:val="0"/>
        <w:keepLines w:val="0"/>
        <w:pageBreakBefore w:val="0"/>
        <w:widowControl w:val="0"/>
        <w:kinsoku/>
        <w:wordWrap/>
        <w:overflowPunct/>
        <w:topLinePunct w:val="0"/>
        <w:autoSpaceDE/>
        <w:autoSpaceDN/>
        <w:bidi w:val="0"/>
        <w:adjustRightInd/>
        <w:snapToGrid/>
        <w:spacing w:before="157" w:beforeLines="50" w:line="600" w:lineRule="exact"/>
        <w:ind w:firstLine="640" w:firstLineChars="200"/>
        <w:textAlignment w:val="auto"/>
        <w:outlineLvl w:val="1"/>
        <w:rPr>
          <w:rStyle w:val="26"/>
          <w:rFonts w:ascii="黑体" w:hAnsi="黑体" w:eastAsia="黑体"/>
          <w:b w:val="0"/>
          <w:color w:val="auto"/>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般公共预算财政拨款支出决算情况说明</w:t>
      </w:r>
      <w:bookmarkEnd w:id="26"/>
      <w:bookmarkEnd w:id="27"/>
    </w:p>
    <w:p>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spacing w:line="600" w:lineRule="exact"/>
        <w:ind w:firstLine="640" w:firstLineChars="200"/>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251.55</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104.91</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29.43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val="en-US" w:eastAsia="zh-CN"/>
        </w:rPr>
        <w:t>为2020年清算了2019年在职人员支出。</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pStyle w:val="31"/>
        <w:rPr>
          <w:rFonts w:hint="eastAsia"/>
        </w:rPr>
      </w:pPr>
      <w:r>
        <w:rPr>
          <w:rFonts w:hint="eastAsia" w:ascii="仿宋" w:hAnsi="仿宋" w:eastAsia="仿宋"/>
          <w:color w:val="auto"/>
          <w:sz w:val="32"/>
          <w:szCs w:val="32"/>
          <w:highlight w:val="none"/>
          <w:lang w:eastAsia="zh-CN"/>
        </w:rPr>
        <w:drawing>
          <wp:anchor distT="0" distB="0" distL="114300" distR="114300" simplePos="0" relativeHeight="251666432" behindDoc="0" locked="0" layoutInCell="1" allowOverlap="1">
            <wp:simplePos x="0" y="0"/>
            <wp:positionH relativeFrom="column">
              <wp:posOffset>1004570</wp:posOffset>
            </wp:positionH>
            <wp:positionV relativeFrom="paragraph">
              <wp:posOffset>-135890</wp:posOffset>
            </wp:positionV>
            <wp:extent cx="3823335" cy="3067685"/>
            <wp:effectExtent l="4445" t="4445" r="20320" b="13970"/>
            <wp:wrapNone/>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pStyle w:val="6"/>
        <w:rPr>
          <w:rFonts w:hint="eastAsia" w:ascii="仿宋" w:hAnsi="仿宋" w:eastAsia="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before="625" w:beforeLines="200" w:line="600" w:lineRule="exact"/>
        <w:ind w:firstLine="643" w:firstLineChars="200"/>
        <w:textAlignment w:val="auto"/>
        <w:outlineLvl w:val="2"/>
        <w:rPr>
          <w:rFonts w:hint="eastAsia" w:ascii="仿宋" w:hAnsi="仿宋" w:eastAsia="仿宋"/>
          <w:b/>
          <w:color w:val="auto"/>
          <w:sz w:val="32"/>
          <w:szCs w:val="32"/>
          <w:highlight w:val="none"/>
        </w:rPr>
      </w:pPr>
      <w:bookmarkStart w:id="29" w:name="_Toc15377211"/>
    </w:p>
    <w:p>
      <w:pPr>
        <w:keepNext w:val="0"/>
        <w:keepLines w:val="0"/>
        <w:pageBreakBefore w:val="0"/>
        <w:widowControl w:val="0"/>
        <w:kinsoku/>
        <w:wordWrap/>
        <w:overflowPunct/>
        <w:topLinePunct w:val="0"/>
        <w:autoSpaceDE/>
        <w:autoSpaceDN/>
        <w:bidi w:val="0"/>
        <w:adjustRightInd/>
        <w:snapToGrid/>
        <w:spacing w:before="625" w:beforeLines="200" w:line="600" w:lineRule="exact"/>
        <w:ind w:firstLine="643" w:firstLineChars="200"/>
        <w:textAlignment w:val="auto"/>
        <w:outlineLvl w:val="2"/>
        <w:rPr>
          <w:rFonts w:hint="eastAsia" w:ascii="仿宋" w:hAnsi="仿宋" w:eastAsia="仿宋"/>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before="625" w:beforeLines="200" w:line="600" w:lineRule="exact"/>
        <w:ind w:firstLine="643" w:firstLineChars="200"/>
        <w:textAlignment w:val="auto"/>
        <w:outlineLvl w:val="2"/>
        <w:rPr>
          <w:rFonts w:hint="eastAsia" w:ascii="仿宋" w:hAnsi="仿宋" w:eastAsia="仿宋"/>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bookmarkEnd w:id="29"/>
    </w:p>
    <w:p>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251.55</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val="0"/>
          <w:bCs/>
          <w:color w:val="auto"/>
          <w:sz w:val="32"/>
          <w:szCs w:val="32"/>
          <w:highlight w:val="none"/>
        </w:rPr>
        <w:t>社会保障和就业（类）支</w:t>
      </w:r>
      <w:r>
        <w:rPr>
          <w:rFonts w:hint="eastAsia" w:ascii="仿宋" w:hAnsi="仿宋" w:eastAsia="仿宋"/>
          <w:color w:val="auto"/>
          <w:sz w:val="32"/>
          <w:szCs w:val="32"/>
          <w:highlight w:val="none"/>
        </w:rPr>
        <w:t>出</w:t>
      </w:r>
      <w:r>
        <w:rPr>
          <w:rFonts w:hint="eastAsia" w:ascii="仿宋" w:hAnsi="仿宋" w:eastAsia="仿宋"/>
          <w:color w:val="auto"/>
          <w:sz w:val="32"/>
          <w:szCs w:val="32"/>
          <w:highlight w:val="none"/>
          <w:lang w:val="en-US" w:eastAsia="zh-CN"/>
        </w:rPr>
        <w:t>26.06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10.36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val="0"/>
          <w:bCs w:val="0"/>
          <w:color w:val="auto"/>
          <w:sz w:val="32"/>
          <w:szCs w:val="32"/>
          <w:highlight w:val="none"/>
        </w:rPr>
        <w:t>卫生健康支出</w:t>
      </w:r>
      <w:r>
        <w:rPr>
          <w:rFonts w:hint="eastAsia" w:ascii="仿宋" w:hAnsi="仿宋" w:eastAsia="仿宋"/>
          <w:b w:val="0"/>
          <w:bCs w:val="0"/>
          <w:color w:val="auto"/>
          <w:sz w:val="32"/>
          <w:szCs w:val="32"/>
          <w:highlight w:val="none"/>
          <w:lang w:val="en-US" w:eastAsia="zh-CN"/>
        </w:rPr>
        <w:t>4.73</w:t>
      </w:r>
      <w:r>
        <w:rPr>
          <w:rFonts w:hint="eastAsia" w:ascii="仿宋" w:hAnsi="仿宋" w:eastAsia="仿宋"/>
          <w:b w:val="0"/>
          <w:bCs w:val="0"/>
          <w:color w:val="auto"/>
          <w:sz w:val="32"/>
          <w:szCs w:val="32"/>
          <w:highlight w:val="none"/>
        </w:rPr>
        <w:t>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1.88</w:t>
      </w:r>
      <w:r>
        <w:rPr>
          <w:rFonts w:ascii="仿宋" w:hAnsi="仿宋" w:eastAsia="仿宋"/>
          <w:color w:val="auto"/>
          <w:sz w:val="32"/>
          <w:szCs w:val="32"/>
          <w:highlight w:val="none"/>
        </w:rPr>
        <w:t>%</w:t>
      </w:r>
      <w:r>
        <w:rPr>
          <w:rFonts w:hint="eastAsia" w:ascii="仿宋" w:hAnsi="仿宋" w:eastAsia="仿宋"/>
          <w:color w:val="auto"/>
          <w:sz w:val="32"/>
          <w:szCs w:val="32"/>
          <w:highlight w:val="none"/>
        </w:rPr>
        <w:t>；城乡社区支出</w:t>
      </w:r>
      <w:r>
        <w:rPr>
          <w:rFonts w:hint="eastAsia" w:ascii="仿宋" w:hAnsi="仿宋" w:eastAsia="仿宋"/>
          <w:color w:val="auto"/>
          <w:sz w:val="32"/>
          <w:szCs w:val="32"/>
          <w:highlight w:val="none"/>
          <w:lang w:val="en-US" w:eastAsia="zh-CN"/>
        </w:rPr>
        <w:t>211.25万元，占83.98%；</w:t>
      </w:r>
      <w:r>
        <w:rPr>
          <w:rFonts w:hint="eastAsia" w:ascii="仿宋" w:hAnsi="仿宋" w:eastAsia="仿宋"/>
          <w:color w:val="auto"/>
          <w:sz w:val="32"/>
          <w:szCs w:val="32"/>
          <w:highlight w:val="none"/>
        </w:rPr>
        <w:t>住房保障支出</w:t>
      </w:r>
      <w:r>
        <w:rPr>
          <w:rFonts w:hint="eastAsia" w:ascii="仿宋" w:hAnsi="仿宋" w:eastAsia="仿宋"/>
          <w:color w:val="auto"/>
          <w:sz w:val="32"/>
          <w:szCs w:val="32"/>
          <w:highlight w:val="none"/>
          <w:lang w:val="en-US" w:eastAsia="zh-CN"/>
        </w:rPr>
        <w:t>9.01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3.58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其他支出0.5万元，占0.2%</w:t>
      </w:r>
      <w:r>
        <w:rPr>
          <w:rFonts w:hint="eastAsia" w:ascii="仿宋" w:hAnsi="仿宋" w:eastAsia="仿宋"/>
          <w:color w:val="auto"/>
          <w:sz w:val="32"/>
          <w:szCs w:val="32"/>
          <w:highlight w:val="none"/>
        </w:rPr>
        <w:t>。</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5408" behindDoc="0" locked="0" layoutInCell="1" allowOverlap="1">
            <wp:simplePos x="0" y="0"/>
            <wp:positionH relativeFrom="column">
              <wp:posOffset>925195</wp:posOffset>
            </wp:positionH>
            <wp:positionV relativeFrom="paragraph">
              <wp:posOffset>462280</wp:posOffset>
            </wp:positionV>
            <wp:extent cx="3852545" cy="3042920"/>
            <wp:effectExtent l="4445" t="4445" r="10160" b="19685"/>
            <wp:wrapNone/>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仿宋" w:hAnsi="仿宋" w:eastAsia="仿宋"/>
          <w:color w:val="auto"/>
          <w:sz w:val="32"/>
          <w:szCs w:val="32"/>
          <w:highlight w:val="none"/>
        </w:rPr>
        <w:t>（图6：一般公共预算财政拨款支出决算结构）（饼状图）</w:t>
      </w:r>
    </w:p>
    <w:p>
      <w:pPr>
        <w:pStyle w:val="6"/>
        <w:rPr>
          <w:rFonts w:hint="eastAsia" w:ascii="仿宋" w:hAnsi="仿宋" w:eastAsia="仿宋"/>
          <w:color w:val="auto"/>
          <w:sz w:val="32"/>
          <w:szCs w:val="32"/>
          <w:highlight w:val="none"/>
        </w:rPr>
      </w:pPr>
    </w:p>
    <w:p>
      <w:pPr>
        <w:pStyle w:val="6"/>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lang w:eastAsia="zh-CN"/>
        </w:rPr>
      </w:pPr>
    </w:p>
    <w:p>
      <w:pPr>
        <w:pStyle w:val="6"/>
        <w:rPr>
          <w:rFonts w:ascii="仿宋" w:hAnsi="仿宋" w:eastAsia="仿宋"/>
          <w:color w:val="auto"/>
          <w:sz w:val="32"/>
          <w:szCs w:val="32"/>
          <w:highlight w:val="none"/>
        </w:rPr>
      </w:pPr>
    </w:p>
    <w:p>
      <w:pPr>
        <w:pStyle w:val="6"/>
        <w:rPr>
          <w:rFonts w:ascii="仿宋" w:hAnsi="仿宋" w:eastAsia="仿宋"/>
          <w:color w:val="auto"/>
          <w:sz w:val="32"/>
          <w:szCs w:val="32"/>
          <w:highlight w:val="none"/>
        </w:rPr>
      </w:pPr>
    </w:p>
    <w:p>
      <w:pPr>
        <w:pStyle w:val="6"/>
        <w:rPr>
          <w:rFonts w:ascii="仿宋" w:hAnsi="仿宋" w:eastAsia="仿宋"/>
          <w:color w:val="auto"/>
          <w:sz w:val="32"/>
          <w:szCs w:val="32"/>
          <w:highlight w:val="none"/>
        </w:rPr>
      </w:pPr>
    </w:p>
    <w:p/>
    <w:p>
      <w:pPr>
        <w:spacing w:line="600" w:lineRule="exact"/>
        <w:ind w:firstLine="643"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pPr>
        <w:spacing w:line="600" w:lineRule="exact"/>
        <w:ind w:firstLine="640" w:firstLineChars="200"/>
        <w:outlineLvl w:val="2"/>
        <w:rPr>
          <w:rFonts w:ascii="仿宋" w:hAnsi="仿宋" w:eastAsia="仿宋"/>
          <w:b w:val="0"/>
          <w:bCs/>
          <w:color w:val="auto"/>
          <w:sz w:val="32"/>
          <w:szCs w:val="32"/>
          <w:highlight w:val="none"/>
        </w:rPr>
      </w:pPr>
      <w:bookmarkStart w:id="31" w:name="_Toc15378460"/>
      <w:bookmarkStart w:id="32" w:name="_Toc15377213"/>
      <w:bookmarkStart w:id="33" w:name="_Toc15377444"/>
      <w:r>
        <w:rPr>
          <w:rFonts w:hint="eastAsia" w:ascii="仿宋" w:hAnsi="仿宋" w:eastAsia="仿宋"/>
          <w:b w:val="0"/>
          <w:bCs/>
          <w:color w:val="auto"/>
          <w:sz w:val="32"/>
          <w:szCs w:val="32"/>
          <w:highlight w:val="none"/>
        </w:rPr>
        <w:t>20</w:t>
      </w:r>
      <w:r>
        <w:rPr>
          <w:rFonts w:hint="eastAsia" w:ascii="仿宋" w:hAnsi="仿宋" w:eastAsia="仿宋"/>
          <w:b w:val="0"/>
          <w:bCs/>
          <w:color w:val="auto"/>
          <w:sz w:val="32"/>
          <w:szCs w:val="32"/>
          <w:highlight w:val="none"/>
          <w:lang w:val="en-US" w:eastAsia="zh-CN"/>
        </w:rPr>
        <w:t>21</w:t>
      </w:r>
      <w:r>
        <w:rPr>
          <w:rFonts w:hint="eastAsia" w:ascii="仿宋" w:hAnsi="仿宋" w:eastAsia="仿宋"/>
          <w:b w:val="0"/>
          <w:bCs/>
          <w:color w:val="auto"/>
          <w:sz w:val="32"/>
          <w:szCs w:val="32"/>
          <w:highlight w:val="none"/>
        </w:rPr>
        <w:t>年</w:t>
      </w:r>
      <w:r>
        <w:rPr>
          <w:rFonts w:hint="eastAsia" w:ascii="仿宋" w:hAnsi="仿宋" w:eastAsia="仿宋"/>
          <w:b w:val="0"/>
          <w:bCs/>
          <w:color w:val="auto"/>
          <w:sz w:val="32"/>
          <w:szCs w:val="32"/>
          <w:highlight w:val="none"/>
          <w:lang w:eastAsia="zh-CN"/>
        </w:rPr>
        <w:t>一</w:t>
      </w:r>
      <w:r>
        <w:rPr>
          <w:rFonts w:hint="eastAsia" w:ascii="仿宋" w:hAnsi="仿宋" w:eastAsia="仿宋"/>
          <w:b w:val="0"/>
          <w:bCs/>
          <w:color w:val="auto"/>
          <w:sz w:val="32"/>
          <w:szCs w:val="32"/>
          <w:highlight w:val="none"/>
        </w:rPr>
        <w:t>般公共预算支出决算数为</w:t>
      </w:r>
      <w:r>
        <w:rPr>
          <w:rFonts w:hint="eastAsia" w:ascii="仿宋" w:hAnsi="仿宋" w:eastAsia="仿宋"/>
          <w:b w:val="0"/>
          <w:bCs/>
          <w:color w:val="auto"/>
          <w:sz w:val="32"/>
          <w:szCs w:val="32"/>
          <w:highlight w:val="none"/>
          <w:lang w:val="en-US" w:eastAsia="zh-CN"/>
        </w:rPr>
        <w:t>251.55</w:t>
      </w:r>
      <w:r>
        <w:rPr>
          <w:rFonts w:hint="eastAsia"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。其中：</w:t>
      </w:r>
      <w:bookmarkEnd w:id="31"/>
      <w:bookmarkEnd w:id="32"/>
      <w:bookmarkEnd w:id="33"/>
    </w:p>
    <w:p>
      <w:pPr>
        <w:spacing w:line="600" w:lineRule="exact"/>
        <w:ind w:firstLine="640" w:firstLineChars="200"/>
        <w:rPr>
          <w:rStyle w:val="16"/>
          <w:rFonts w:hint="eastAsia" w:ascii="仿宋" w:hAnsi="仿宋" w:eastAsia="仿宋"/>
          <w:b w:val="0"/>
          <w:bCs/>
          <w:color w:val="auto"/>
          <w:sz w:val="32"/>
          <w:szCs w:val="32"/>
          <w:highlight w:val="none"/>
        </w:rPr>
      </w:pPr>
      <w:r>
        <w:rPr>
          <w:rStyle w:val="16"/>
          <w:rFonts w:ascii="仿宋" w:hAnsi="仿宋" w:eastAsia="仿宋"/>
          <w:b w:val="0"/>
          <w:bCs/>
          <w:color w:val="auto"/>
          <w:sz w:val="32"/>
          <w:szCs w:val="32"/>
          <w:highlight w:val="none"/>
        </w:rPr>
        <w:t>1.</w:t>
      </w:r>
      <w:r>
        <w:rPr>
          <w:rStyle w:val="16"/>
          <w:rFonts w:hint="eastAsia" w:ascii="仿宋" w:hAnsi="仿宋" w:eastAsia="仿宋"/>
          <w:b w:val="0"/>
          <w:bCs/>
          <w:color w:val="auto"/>
          <w:sz w:val="32"/>
          <w:szCs w:val="32"/>
          <w:highlight w:val="none"/>
        </w:rPr>
        <w:t>社会保障和就业（类）行政事业单位养老支出（款）事业单位离退休（项）</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12.63</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pStyle w:val="6"/>
        <w:ind w:firstLine="640" w:firstLineChars="200"/>
        <w:rPr>
          <w:rStyle w:val="16"/>
          <w:rFonts w:hint="eastAsia" w:ascii="仿宋" w:hAnsi="仿宋" w:eastAsia="仿宋"/>
          <w:b w:val="0"/>
          <w:bCs/>
          <w:color w:val="auto"/>
          <w:sz w:val="32"/>
          <w:szCs w:val="32"/>
          <w:highlight w:val="none"/>
        </w:rPr>
      </w:pPr>
      <w:r>
        <w:rPr>
          <w:rStyle w:val="16"/>
          <w:rFonts w:hint="eastAsia" w:ascii="仿宋" w:hAnsi="仿宋" w:eastAsia="仿宋"/>
          <w:b w:val="0"/>
          <w:bCs/>
          <w:color w:val="auto"/>
          <w:sz w:val="32"/>
          <w:szCs w:val="32"/>
          <w:highlight w:val="none"/>
          <w:lang w:val="en-US" w:eastAsia="zh-CN"/>
        </w:rPr>
        <w:t>2</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社会保障和就业（类）行政事业单位养老支出（款）机关事业单位基本养老保险缴费支出（项）</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8.89</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spacing w:line="600" w:lineRule="exact"/>
        <w:ind w:firstLine="640" w:firstLineChars="200"/>
        <w:rPr>
          <w:rStyle w:val="16"/>
          <w:rFonts w:hint="eastAsia" w:ascii="仿宋" w:hAnsi="仿宋" w:eastAsia="仿宋"/>
          <w:b w:val="0"/>
          <w:bCs/>
          <w:color w:val="auto"/>
          <w:sz w:val="32"/>
          <w:szCs w:val="32"/>
          <w:highlight w:val="none"/>
        </w:rPr>
      </w:pPr>
      <w:r>
        <w:rPr>
          <w:rStyle w:val="16"/>
          <w:rFonts w:hint="eastAsia" w:ascii="仿宋" w:hAnsi="仿宋" w:eastAsia="仿宋"/>
          <w:b w:val="0"/>
          <w:bCs/>
          <w:color w:val="auto"/>
          <w:sz w:val="32"/>
          <w:szCs w:val="32"/>
          <w:highlight w:val="none"/>
          <w:lang w:val="en-US" w:eastAsia="zh-CN"/>
        </w:rPr>
        <w:t>3</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社会保障和就业（类）抚恤（款）死亡抚恤（项）</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4.54</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pStyle w:val="6"/>
        <w:ind w:firstLine="640" w:firstLineChars="200"/>
        <w:rPr>
          <w:rStyle w:val="16"/>
          <w:rFonts w:hint="eastAsia" w:ascii="仿宋" w:hAnsi="仿宋" w:eastAsia="仿宋"/>
          <w:b w:val="0"/>
          <w:bCs/>
          <w:color w:val="auto"/>
          <w:sz w:val="32"/>
          <w:szCs w:val="32"/>
          <w:highlight w:val="none"/>
        </w:rPr>
      </w:pPr>
      <w:r>
        <w:rPr>
          <w:rStyle w:val="16"/>
          <w:rFonts w:hint="eastAsia" w:ascii="仿宋" w:hAnsi="仿宋" w:eastAsia="仿宋"/>
          <w:b w:val="0"/>
          <w:bCs/>
          <w:color w:val="auto"/>
          <w:sz w:val="32"/>
          <w:szCs w:val="32"/>
          <w:highlight w:val="none"/>
          <w:lang w:val="en-US" w:eastAsia="zh-CN"/>
        </w:rPr>
        <w:t>4</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卫生健康（类）行政事业单位医疗（款）事业单位医疗（项）</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4.73</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spacing w:line="600" w:lineRule="exact"/>
        <w:ind w:firstLine="640" w:firstLineChars="200"/>
        <w:rPr>
          <w:rStyle w:val="16"/>
          <w:rFonts w:hint="eastAsia" w:ascii="仿宋" w:hAnsi="仿宋" w:eastAsia="仿宋"/>
          <w:b w:val="0"/>
          <w:bCs/>
          <w:color w:val="auto"/>
          <w:sz w:val="32"/>
          <w:szCs w:val="32"/>
          <w:highlight w:val="none"/>
        </w:rPr>
      </w:pPr>
      <w:r>
        <w:rPr>
          <w:rStyle w:val="16"/>
          <w:rFonts w:hint="eastAsia" w:ascii="仿宋" w:hAnsi="仿宋" w:eastAsia="仿宋"/>
          <w:b w:val="0"/>
          <w:bCs/>
          <w:color w:val="auto"/>
          <w:sz w:val="32"/>
          <w:szCs w:val="32"/>
          <w:highlight w:val="none"/>
          <w:lang w:val="en-US" w:eastAsia="zh-CN"/>
        </w:rPr>
        <w:t>5</w:t>
      </w:r>
      <w:r>
        <w:rPr>
          <w:rStyle w:val="16"/>
          <w:rFonts w:ascii="仿宋" w:hAnsi="仿宋" w:eastAsia="仿宋"/>
          <w:b w:val="0"/>
          <w:bCs/>
          <w:color w:val="auto"/>
          <w:sz w:val="32"/>
          <w:szCs w:val="32"/>
          <w:highlight w:val="none"/>
        </w:rPr>
        <w:t>.</w:t>
      </w:r>
      <w:r>
        <w:rPr>
          <w:rFonts w:hint="eastAsia" w:ascii="仿宋" w:hAnsi="仿宋" w:eastAsia="仿宋"/>
          <w:b w:val="0"/>
          <w:bCs/>
          <w:color w:val="auto"/>
          <w:sz w:val="32"/>
          <w:szCs w:val="32"/>
          <w:highlight w:val="none"/>
        </w:rPr>
        <w:t>城乡社区</w:t>
      </w:r>
      <w:r>
        <w:rPr>
          <w:rStyle w:val="16"/>
          <w:rFonts w:hint="eastAsia" w:ascii="仿宋" w:hAnsi="仿宋" w:eastAsia="仿宋"/>
          <w:b w:val="0"/>
          <w:bCs/>
          <w:color w:val="auto"/>
          <w:sz w:val="32"/>
          <w:szCs w:val="32"/>
          <w:highlight w:val="none"/>
        </w:rPr>
        <w:t>（类）城乡社区管理事务（款）市政公用行业市场监管（项）</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27.52</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spacing w:line="600" w:lineRule="exact"/>
        <w:ind w:firstLine="640" w:firstLineChars="200"/>
        <w:rPr>
          <w:rFonts w:ascii="仿宋" w:hAnsi="仿宋" w:eastAsia="仿宋"/>
          <w:b w:val="0"/>
          <w:bCs/>
          <w:color w:val="auto"/>
          <w:sz w:val="32"/>
          <w:szCs w:val="32"/>
          <w:highlight w:val="none"/>
        </w:rPr>
      </w:pPr>
      <w:r>
        <w:rPr>
          <w:rStyle w:val="16"/>
          <w:rFonts w:hint="eastAsia" w:ascii="仿宋" w:hAnsi="仿宋" w:eastAsia="仿宋"/>
          <w:b w:val="0"/>
          <w:bCs/>
          <w:color w:val="auto"/>
          <w:sz w:val="32"/>
          <w:szCs w:val="32"/>
          <w:highlight w:val="none"/>
          <w:lang w:val="en-US" w:eastAsia="zh-CN"/>
        </w:rPr>
        <w:t>6</w:t>
      </w:r>
      <w:r>
        <w:rPr>
          <w:rStyle w:val="16"/>
          <w:rFonts w:ascii="仿宋" w:hAnsi="仿宋" w:eastAsia="仿宋"/>
          <w:b w:val="0"/>
          <w:bCs/>
          <w:color w:val="auto"/>
          <w:sz w:val="32"/>
          <w:szCs w:val="32"/>
          <w:highlight w:val="none"/>
        </w:rPr>
        <w:t>.</w:t>
      </w:r>
      <w:r>
        <w:rPr>
          <w:rFonts w:hint="eastAsia" w:ascii="仿宋" w:hAnsi="仿宋" w:eastAsia="仿宋"/>
          <w:b w:val="0"/>
          <w:bCs/>
          <w:color w:val="auto"/>
          <w:sz w:val="32"/>
          <w:szCs w:val="32"/>
          <w:highlight w:val="none"/>
        </w:rPr>
        <w:t>城乡社区</w:t>
      </w:r>
      <w:r>
        <w:rPr>
          <w:rStyle w:val="16"/>
          <w:rFonts w:hint="eastAsia" w:ascii="仿宋" w:hAnsi="仿宋" w:eastAsia="仿宋"/>
          <w:b w:val="0"/>
          <w:bCs/>
          <w:color w:val="auto"/>
          <w:sz w:val="32"/>
          <w:szCs w:val="32"/>
          <w:highlight w:val="none"/>
        </w:rPr>
        <w:t>（类）城乡社区管理事务（款）其他城乡社区管理事务支出（项）</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177.67</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spacing w:line="600" w:lineRule="exact"/>
        <w:ind w:firstLine="640" w:firstLineChars="200"/>
        <w:rPr>
          <w:rFonts w:ascii="仿宋" w:hAnsi="仿宋" w:eastAsia="仿宋"/>
          <w:b w:val="0"/>
          <w:bCs/>
          <w:color w:val="auto"/>
          <w:sz w:val="32"/>
          <w:szCs w:val="32"/>
          <w:highlight w:val="none"/>
        </w:rPr>
      </w:pPr>
      <w:r>
        <w:rPr>
          <w:rStyle w:val="16"/>
          <w:rFonts w:hint="eastAsia" w:ascii="仿宋" w:hAnsi="仿宋" w:eastAsia="仿宋"/>
          <w:b w:val="0"/>
          <w:bCs/>
          <w:color w:val="auto"/>
          <w:sz w:val="32"/>
          <w:szCs w:val="32"/>
          <w:highlight w:val="none"/>
          <w:lang w:val="en-US" w:eastAsia="zh-CN"/>
        </w:rPr>
        <w:t>7</w:t>
      </w:r>
      <w:r>
        <w:rPr>
          <w:rStyle w:val="16"/>
          <w:rFonts w:ascii="仿宋" w:hAnsi="仿宋" w:eastAsia="仿宋"/>
          <w:b w:val="0"/>
          <w:bCs/>
          <w:color w:val="auto"/>
          <w:sz w:val="32"/>
          <w:szCs w:val="32"/>
          <w:highlight w:val="none"/>
        </w:rPr>
        <w:t>.</w:t>
      </w:r>
      <w:r>
        <w:rPr>
          <w:rFonts w:hint="eastAsia" w:ascii="仿宋" w:hAnsi="仿宋" w:eastAsia="仿宋"/>
          <w:b w:val="0"/>
          <w:bCs/>
          <w:color w:val="auto"/>
          <w:sz w:val="32"/>
          <w:szCs w:val="32"/>
          <w:highlight w:val="none"/>
        </w:rPr>
        <w:t>城乡社区</w:t>
      </w:r>
      <w:r>
        <w:rPr>
          <w:rStyle w:val="16"/>
          <w:rFonts w:hint="eastAsia" w:ascii="仿宋" w:hAnsi="仿宋" w:eastAsia="仿宋"/>
          <w:b w:val="0"/>
          <w:bCs/>
          <w:color w:val="auto"/>
          <w:sz w:val="32"/>
          <w:szCs w:val="32"/>
          <w:highlight w:val="none"/>
        </w:rPr>
        <w:t>（类）城乡社区公共设施（款）其他城乡社区公共设施支出（项）</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6.05</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spacing w:line="600" w:lineRule="exact"/>
        <w:ind w:firstLine="640" w:firstLineChars="200"/>
        <w:rPr>
          <w:rFonts w:ascii="仿宋" w:hAnsi="仿宋" w:eastAsia="仿宋"/>
          <w:b w:val="0"/>
          <w:bCs/>
          <w:color w:val="auto"/>
          <w:sz w:val="32"/>
          <w:szCs w:val="32"/>
          <w:highlight w:val="none"/>
        </w:rPr>
      </w:pPr>
      <w:r>
        <w:rPr>
          <w:rStyle w:val="16"/>
          <w:rFonts w:hint="eastAsia" w:ascii="仿宋" w:hAnsi="仿宋" w:eastAsia="仿宋"/>
          <w:b w:val="0"/>
          <w:bCs/>
          <w:color w:val="auto"/>
          <w:sz w:val="32"/>
          <w:szCs w:val="32"/>
          <w:highlight w:val="none"/>
          <w:lang w:val="en-US" w:eastAsia="zh-CN"/>
        </w:rPr>
        <w:t>8</w:t>
      </w:r>
      <w:r>
        <w:rPr>
          <w:rStyle w:val="16"/>
          <w:rFonts w:ascii="仿宋" w:hAnsi="仿宋" w:eastAsia="仿宋"/>
          <w:b w:val="0"/>
          <w:bCs/>
          <w:color w:val="auto"/>
          <w:sz w:val="32"/>
          <w:szCs w:val="32"/>
          <w:highlight w:val="none"/>
        </w:rPr>
        <w:t>.</w:t>
      </w:r>
      <w:r>
        <w:rPr>
          <w:rFonts w:hint="eastAsia" w:ascii="仿宋" w:hAnsi="仿宋" w:eastAsia="仿宋"/>
          <w:b w:val="0"/>
          <w:bCs/>
          <w:color w:val="auto"/>
          <w:sz w:val="32"/>
          <w:szCs w:val="32"/>
          <w:highlight w:val="none"/>
        </w:rPr>
        <w:t>住房保障</w:t>
      </w:r>
      <w:r>
        <w:rPr>
          <w:rStyle w:val="16"/>
          <w:rFonts w:hint="eastAsia" w:ascii="仿宋" w:hAnsi="仿宋" w:eastAsia="仿宋"/>
          <w:b w:val="0"/>
          <w:bCs/>
          <w:color w:val="auto"/>
          <w:sz w:val="32"/>
          <w:szCs w:val="32"/>
          <w:highlight w:val="none"/>
        </w:rPr>
        <w:t>（类）住房改革支出（款）住房公积金（项）</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9.01</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spacing w:line="600" w:lineRule="exact"/>
        <w:ind w:firstLine="640" w:firstLineChars="200"/>
        <w:rPr>
          <w:rFonts w:ascii="仿宋" w:hAnsi="仿宋" w:eastAsia="仿宋"/>
          <w:b w:val="0"/>
          <w:bCs/>
          <w:color w:val="auto"/>
          <w:sz w:val="32"/>
          <w:szCs w:val="32"/>
          <w:highlight w:val="none"/>
        </w:rPr>
      </w:pPr>
      <w:r>
        <w:rPr>
          <w:rStyle w:val="16"/>
          <w:rFonts w:hint="eastAsia" w:ascii="仿宋" w:hAnsi="仿宋" w:eastAsia="仿宋"/>
          <w:b w:val="0"/>
          <w:bCs/>
          <w:color w:val="auto"/>
          <w:sz w:val="32"/>
          <w:szCs w:val="32"/>
          <w:highlight w:val="none"/>
          <w:lang w:val="en-US" w:eastAsia="zh-CN"/>
        </w:rPr>
        <w:t>9</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lang w:val="en-US" w:eastAsia="zh-CN"/>
        </w:rPr>
        <w:t>其他</w:t>
      </w:r>
      <w:r>
        <w:rPr>
          <w:rStyle w:val="16"/>
          <w:rFonts w:hint="eastAsia" w:ascii="仿宋" w:hAnsi="仿宋" w:eastAsia="仿宋"/>
          <w:b w:val="0"/>
          <w:bCs/>
          <w:color w:val="auto"/>
          <w:sz w:val="32"/>
          <w:szCs w:val="32"/>
          <w:highlight w:val="none"/>
        </w:rPr>
        <w:t>（类）</w:t>
      </w:r>
      <w:r>
        <w:rPr>
          <w:rStyle w:val="16"/>
          <w:rFonts w:hint="eastAsia" w:ascii="仿宋" w:hAnsi="仿宋" w:eastAsia="仿宋"/>
          <w:b w:val="0"/>
          <w:bCs/>
          <w:color w:val="auto"/>
          <w:sz w:val="32"/>
          <w:szCs w:val="32"/>
          <w:highlight w:val="none"/>
          <w:lang w:val="en-US" w:eastAsia="zh-CN"/>
        </w:rPr>
        <w:t>其他</w:t>
      </w:r>
      <w:r>
        <w:rPr>
          <w:rStyle w:val="16"/>
          <w:rFonts w:hint="eastAsia" w:ascii="仿宋" w:hAnsi="仿宋" w:eastAsia="仿宋"/>
          <w:b w:val="0"/>
          <w:bCs/>
          <w:color w:val="auto"/>
          <w:sz w:val="32"/>
          <w:szCs w:val="32"/>
          <w:highlight w:val="none"/>
        </w:rPr>
        <w:t>支出（款）其他支出（项）</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0.5</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tabs>
          <w:tab w:val="right" w:pos="8306"/>
        </w:tabs>
        <w:spacing w:line="600" w:lineRule="exact"/>
        <w:ind w:firstLine="640"/>
        <w:outlineLvl w:val="1"/>
        <w:rPr>
          <w:rStyle w:val="26"/>
          <w:color w:val="auto"/>
          <w:highlight w:val="none"/>
        </w:rPr>
      </w:pPr>
      <w:bookmarkStart w:id="34" w:name="_Toc15377214"/>
      <w:bookmarkStart w:id="35"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般公共预算财政拨款基本支出决算情况说明</w:t>
      </w:r>
      <w:bookmarkEnd w:id="34"/>
      <w:bookmarkEnd w:id="35"/>
      <w:r>
        <w:rPr>
          <w:rStyle w:val="26"/>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251.55</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172.61</w:t>
      </w:r>
      <w:r>
        <w:rPr>
          <w:rFonts w:hint="eastAsia" w:ascii="仿宋" w:hAnsi="仿宋" w:eastAsia="仿宋"/>
          <w:color w:val="auto"/>
          <w:sz w:val="32"/>
          <w:szCs w:val="32"/>
          <w:highlight w:val="none"/>
        </w:rPr>
        <w:t>万元，主要包括：基本工资</w:t>
      </w:r>
      <w:r>
        <w:rPr>
          <w:rFonts w:hint="eastAsia" w:ascii="仿宋" w:hAnsi="仿宋" w:eastAsia="仿宋"/>
          <w:color w:val="auto"/>
          <w:sz w:val="32"/>
          <w:szCs w:val="32"/>
          <w:highlight w:val="none"/>
          <w:lang w:val="en-US" w:eastAsia="zh-CN"/>
        </w:rPr>
        <w:t>27.00万元</w:t>
      </w:r>
      <w:r>
        <w:rPr>
          <w:rFonts w:hint="eastAsia" w:ascii="仿宋" w:hAnsi="仿宋" w:eastAsia="仿宋"/>
          <w:color w:val="auto"/>
          <w:sz w:val="32"/>
          <w:szCs w:val="32"/>
          <w:highlight w:val="none"/>
        </w:rPr>
        <w:t>、津贴补贴</w:t>
      </w:r>
      <w:r>
        <w:rPr>
          <w:rFonts w:hint="eastAsia" w:ascii="仿宋" w:hAnsi="仿宋" w:eastAsia="仿宋"/>
          <w:color w:val="auto"/>
          <w:sz w:val="32"/>
          <w:szCs w:val="32"/>
          <w:highlight w:val="none"/>
          <w:lang w:val="en-US" w:eastAsia="zh-CN"/>
        </w:rPr>
        <w:t>0.56万元</w:t>
      </w:r>
      <w:r>
        <w:rPr>
          <w:rFonts w:hint="eastAsia" w:ascii="仿宋" w:hAnsi="仿宋" w:eastAsia="仿宋"/>
          <w:color w:val="auto"/>
          <w:sz w:val="32"/>
          <w:szCs w:val="32"/>
          <w:highlight w:val="none"/>
        </w:rPr>
        <w:t>、绩效工资</w:t>
      </w:r>
      <w:r>
        <w:rPr>
          <w:rFonts w:hint="eastAsia" w:ascii="仿宋" w:hAnsi="仿宋" w:eastAsia="仿宋"/>
          <w:color w:val="auto"/>
          <w:sz w:val="32"/>
          <w:szCs w:val="32"/>
          <w:highlight w:val="none"/>
          <w:lang w:val="en-US" w:eastAsia="zh-CN"/>
        </w:rPr>
        <w:t>23.20万元</w:t>
      </w:r>
      <w:r>
        <w:rPr>
          <w:rFonts w:hint="eastAsia" w:ascii="仿宋" w:hAnsi="仿宋" w:eastAsia="仿宋"/>
          <w:color w:val="auto"/>
          <w:sz w:val="32"/>
          <w:szCs w:val="32"/>
          <w:highlight w:val="none"/>
        </w:rPr>
        <w:t>、机关事业单位基本养老保险缴费</w:t>
      </w:r>
      <w:r>
        <w:rPr>
          <w:rFonts w:hint="eastAsia" w:ascii="仿宋" w:hAnsi="仿宋" w:eastAsia="仿宋"/>
          <w:color w:val="auto"/>
          <w:sz w:val="32"/>
          <w:szCs w:val="32"/>
          <w:highlight w:val="none"/>
          <w:lang w:val="en-US" w:eastAsia="zh-CN"/>
        </w:rPr>
        <w:t>8.89万元</w:t>
      </w:r>
      <w:r>
        <w:rPr>
          <w:rFonts w:hint="eastAsia" w:ascii="仿宋" w:hAnsi="仿宋" w:eastAsia="仿宋"/>
          <w:color w:val="auto"/>
          <w:sz w:val="32"/>
          <w:szCs w:val="32"/>
          <w:highlight w:val="none"/>
        </w:rPr>
        <w:t>、职工基本医疗保险缴费</w:t>
      </w:r>
      <w:r>
        <w:rPr>
          <w:rFonts w:hint="eastAsia" w:ascii="仿宋" w:hAnsi="仿宋" w:eastAsia="仿宋"/>
          <w:color w:val="auto"/>
          <w:sz w:val="32"/>
          <w:szCs w:val="32"/>
          <w:highlight w:val="none"/>
          <w:lang w:val="en-US" w:eastAsia="zh-CN"/>
        </w:rPr>
        <w:t>4.73万元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其他社会保障缴费</w:t>
      </w:r>
      <w:r>
        <w:rPr>
          <w:rFonts w:hint="eastAsia" w:ascii="仿宋" w:hAnsi="仿宋" w:eastAsia="仿宋"/>
          <w:color w:val="auto"/>
          <w:sz w:val="32"/>
          <w:szCs w:val="32"/>
          <w:highlight w:val="none"/>
          <w:lang w:val="en-US" w:eastAsia="zh-CN"/>
        </w:rPr>
        <w:t>0.35万元</w:t>
      </w:r>
      <w:r>
        <w:rPr>
          <w:rFonts w:hint="eastAsia" w:ascii="仿宋" w:hAnsi="仿宋" w:eastAsia="仿宋"/>
          <w:color w:val="auto"/>
          <w:sz w:val="32"/>
          <w:szCs w:val="32"/>
          <w:highlight w:val="none"/>
        </w:rPr>
        <w:t>、其他工资福利支出</w:t>
      </w:r>
      <w:r>
        <w:rPr>
          <w:rFonts w:hint="eastAsia" w:ascii="仿宋" w:hAnsi="仿宋" w:eastAsia="仿宋"/>
          <w:color w:val="auto"/>
          <w:sz w:val="32"/>
          <w:szCs w:val="32"/>
          <w:highlight w:val="none"/>
          <w:lang w:val="en-US" w:eastAsia="zh-CN"/>
        </w:rPr>
        <w:t>9.55万元</w:t>
      </w:r>
      <w:r>
        <w:rPr>
          <w:rFonts w:hint="eastAsia" w:ascii="仿宋" w:hAnsi="仿宋" w:eastAsia="仿宋"/>
          <w:color w:val="auto"/>
          <w:sz w:val="32"/>
          <w:szCs w:val="32"/>
          <w:highlight w:val="none"/>
        </w:rPr>
        <w:t>、抚恤金</w:t>
      </w:r>
      <w:r>
        <w:rPr>
          <w:rFonts w:hint="eastAsia" w:ascii="仿宋" w:hAnsi="仿宋" w:eastAsia="仿宋"/>
          <w:color w:val="auto"/>
          <w:sz w:val="32"/>
          <w:szCs w:val="32"/>
          <w:highlight w:val="none"/>
          <w:lang w:val="en-US" w:eastAsia="zh-CN"/>
        </w:rPr>
        <w:t>4.54万元</w:t>
      </w:r>
      <w:r>
        <w:rPr>
          <w:rFonts w:hint="eastAsia" w:ascii="仿宋" w:hAnsi="仿宋" w:eastAsia="仿宋"/>
          <w:color w:val="auto"/>
          <w:sz w:val="32"/>
          <w:szCs w:val="32"/>
          <w:highlight w:val="none"/>
        </w:rPr>
        <w:t>、住房公积金</w:t>
      </w:r>
      <w:r>
        <w:rPr>
          <w:rFonts w:hint="eastAsia" w:ascii="仿宋" w:hAnsi="仿宋" w:eastAsia="仿宋"/>
          <w:color w:val="auto"/>
          <w:sz w:val="32"/>
          <w:szCs w:val="32"/>
          <w:highlight w:val="none"/>
          <w:lang w:val="en-US" w:eastAsia="zh-CN"/>
        </w:rPr>
        <w:t>9.01万元</w:t>
      </w:r>
      <w:r>
        <w:rPr>
          <w:rFonts w:hint="eastAsia" w:ascii="仿宋" w:hAnsi="仿宋" w:eastAsia="仿宋"/>
          <w:color w:val="auto"/>
          <w:sz w:val="32"/>
          <w:szCs w:val="32"/>
          <w:highlight w:val="none"/>
        </w:rPr>
        <w:t>、其他对个人和家庭的补助支出</w:t>
      </w:r>
      <w:r>
        <w:rPr>
          <w:rFonts w:hint="eastAsia" w:ascii="仿宋" w:hAnsi="仿宋" w:eastAsia="仿宋"/>
          <w:color w:val="auto"/>
          <w:sz w:val="32"/>
          <w:szCs w:val="32"/>
          <w:highlight w:val="none"/>
          <w:lang w:val="en-US" w:eastAsia="zh-CN"/>
        </w:rPr>
        <w:t>84.77万元</w:t>
      </w:r>
      <w:r>
        <w:rPr>
          <w:rFonts w:hint="eastAsia" w:ascii="仿宋" w:hAnsi="仿宋" w:eastAsia="仿宋"/>
          <w:color w:val="auto"/>
          <w:sz w:val="32"/>
          <w:szCs w:val="32"/>
          <w:highlight w:val="none"/>
        </w:rPr>
        <w:t>等。</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78.94</w:t>
      </w:r>
      <w:r>
        <w:rPr>
          <w:rFonts w:hint="eastAsia" w:ascii="仿宋" w:hAnsi="仿宋" w:eastAsia="仿宋"/>
          <w:color w:val="auto"/>
          <w:sz w:val="32"/>
          <w:szCs w:val="32"/>
          <w:highlight w:val="none"/>
        </w:rPr>
        <w:t>万元，主要包括：办公费</w:t>
      </w:r>
      <w:r>
        <w:rPr>
          <w:rFonts w:hint="eastAsia" w:ascii="仿宋" w:hAnsi="仿宋" w:eastAsia="仿宋"/>
          <w:color w:val="auto"/>
          <w:sz w:val="32"/>
          <w:szCs w:val="32"/>
          <w:highlight w:val="none"/>
          <w:lang w:val="en-US" w:eastAsia="zh-CN"/>
        </w:rPr>
        <w:t>2.18万元</w:t>
      </w:r>
      <w:r>
        <w:rPr>
          <w:rFonts w:hint="eastAsia" w:ascii="仿宋" w:hAnsi="仿宋" w:eastAsia="仿宋"/>
          <w:color w:val="auto"/>
          <w:sz w:val="32"/>
          <w:szCs w:val="32"/>
          <w:highlight w:val="none"/>
        </w:rPr>
        <w:t>、邮电费</w:t>
      </w:r>
      <w:r>
        <w:rPr>
          <w:rFonts w:hint="eastAsia" w:ascii="仿宋" w:hAnsi="仿宋" w:eastAsia="仿宋"/>
          <w:color w:val="auto"/>
          <w:sz w:val="32"/>
          <w:szCs w:val="32"/>
          <w:highlight w:val="none"/>
          <w:lang w:val="en-US" w:eastAsia="zh-CN"/>
        </w:rPr>
        <w:t>0.29万元</w:t>
      </w:r>
      <w:r>
        <w:rPr>
          <w:rFonts w:hint="eastAsia" w:ascii="仿宋" w:hAnsi="仿宋" w:eastAsia="仿宋"/>
          <w:color w:val="auto"/>
          <w:sz w:val="32"/>
          <w:szCs w:val="32"/>
          <w:highlight w:val="none"/>
        </w:rPr>
        <w:t>、物业管理费</w:t>
      </w:r>
      <w:r>
        <w:rPr>
          <w:rFonts w:hint="eastAsia" w:ascii="仿宋" w:hAnsi="仿宋" w:eastAsia="仿宋"/>
          <w:color w:val="auto"/>
          <w:sz w:val="32"/>
          <w:szCs w:val="32"/>
          <w:highlight w:val="none"/>
          <w:lang w:val="en-US" w:eastAsia="zh-CN"/>
        </w:rPr>
        <w:t>7.73万元</w:t>
      </w:r>
      <w:r>
        <w:rPr>
          <w:rFonts w:hint="eastAsia" w:ascii="仿宋" w:hAnsi="仿宋" w:eastAsia="仿宋"/>
          <w:color w:val="auto"/>
          <w:sz w:val="32"/>
          <w:szCs w:val="32"/>
          <w:highlight w:val="none"/>
        </w:rPr>
        <w:t>、差旅费</w:t>
      </w:r>
      <w:r>
        <w:rPr>
          <w:rFonts w:hint="eastAsia" w:ascii="仿宋" w:hAnsi="仿宋" w:eastAsia="仿宋"/>
          <w:color w:val="auto"/>
          <w:sz w:val="32"/>
          <w:szCs w:val="32"/>
          <w:highlight w:val="none"/>
          <w:lang w:val="en-US" w:eastAsia="zh-CN"/>
        </w:rPr>
        <w:t>2.39万元</w:t>
      </w:r>
      <w:r>
        <w:rPr>
          <w:rFonts w:hint="eastAsia" w:ascii="仿宋" w:hAnsi="仿宋" w:eastAsia="仿宋"/>
          <w:color w:val="auto"/>
          <w:sz w:val="32"/>
          <w:szCs w:val="32"/>
          <w:highlight w:val="none"/>
        </w:rPr>
        <w:t>、维修（护）费</w:t>
      </w:r>
      <w:r>
        <w:rPr>
          <w:rFonts w:hint="eastAsia" w:ascii="仿宋" w:hAnsi="仿宋" w:eastAsia="仿宋"/>
          <w:color w:val="auto"/>
          <w:sz w:val="32"/>
          <w:szCs w:val="32"/>
          <w:highlight w:val="none"/>
          <w:lang w:val="en-US" w:eastAsia="zh-CN"/>
        </w:rPr>
        <w:t>0.55万元</w:t>
      </w:r>
      <w:r>
        <w:rPr>
          <w:rFonts w:hint="eastAsia" w:ascii="仿宋" w:hAnsi="仿宋" w:eastAsia="仿宋"/>
          <w:color w:val="auto"/>
          <w:sz w:val="32"/>
          <w:szCs w:val="32"/>
          <w:highlight w:val="none"/>
        </w:rPr>
        <w:t>、公务接待费</w:t>
      </w:r>
      <w:r>
        <w:rPr>
          <w:rFonts w:hint="eastAsia" w:ascii="仿宋" w:hAnsi="仿宋" w:eastAsia="仿宋"/>
          <w:color w:val="auto"/>
          <w:sz w:val="32"/>
          <w:szCs w:val="32"/>
          <w:highlight w:val="none"/>
          <w:lang w:val="en-US" w:eastAsia="zh-CN"/>
        </w:rPr>
        <w:t>0.12万元</w:t>
      </w:r>
      <w:r>
        <w:rPr>
          <w:rFonts w:hint="eastAsia" w:ascii="仿宋" w:hAnsi="仿宋" w:eastAsia="仿宋"/>
          <w:color w:val="auto"/>
          <w:sz w:val="32"/>
          <w:szCs w:val="32"/>
          <w:highlight w:val="none"/>
        </w:rPr>
        <w:t>、委托业务费</w:t>
      </w:r>
      <w:r>
        <w:rPr>
          <w:rFonts w:hint="eastAsia" w:ascii="仿宋" w:hAnsi="仿宋" w:eastAsia="仿宋"/>
          <w:color w:val="auto"/>
          <w:sz w:val="32"/>
          <w:szCs w:val="32"/>
          <w:highlight w:val="none"/>
          <w:lang w:val="en-US" w:eastAsia="zh-CN"/>
        </w:rPr>
        <w:t>27.28万元</w:t>
      </w:r>
      <w:r>
        <w:rPr>
          <w:rFonts w:hint="eastAsia" w:ascii="仿宋" w:hAnsi="仿宋" w:eastAsia="仿宋"/>
          <w:color w:val="auto"/>
          <w:sz w:val="32"/>
          <w:szCs w:val="32"/>
          <w:highlight w:val="none"/>
        </w:rPr>
        <w:t>、办公设备购置</w:t>
      </w:r>
      <w:r>
        <w:rPr>
          <w:rFonts w:hint="eastAsia" w:ascii="仿宋" w:hAnsi="仿宋" w:eastAsia="仿宋"/>
          <w:color w:val="auto"/>
          <w:sz w:val="32"/>
          <w:szCs w:val="32"/>
          <w:highlight w:val="none"/>
          <w:lang w:val="en-US" w:eastAsia="zh-CN"/>
        </w:rPr>
        <w:t>3.90万元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工会经费</w:t>
      </w:r>
      <w:r>
        <w:rPr>
          <w:rFonts w:hint="eastAsia" w:ascii="仿宋" w:hAnsi="仿宋" w:eastAsia="仿宋"/>
          <w:color w:val="auto"/>
          <w:sz w:val="32"/>
          <w:szCs w:val="32"/>
          <w:highlight w:val="none"/>
          <w:lang w:val="en-US" w:eastAsia="zh-CN"/>
        </w:rPr>
        <w:t>1.07万元</w:t>
      </w:r>
      <w:r>
        <w:rPr>
          <w:rFonts w:hint="eastAsia" w:ascii="仿宋" w:hAnsi="仿宋" w:eastAsia="仿宋"/>
          <w:color w:val="auto"/>
          <w:sz w:val="32"/>
          <w:szCs w:val="32"/>
          <w:highlight w:val="none"/>
        </w:rPr>
        <w:t>、福利费</w:t>
      </w:r>
      <w:r>
        <w:rPr>
          <w:rFonts w:hint="eastAsia" w:ascii="仿宋" w:hAnsi="仿宋" w:eastAsia="仿宋"/>
          <w:color w:val="auto"/>
          <w:sz w:val="32"/>
          <w:szCs w:val="32"/>
          <w:highlight w:val="none"/>
          <w:lang w:val="en-US" w:eastAsia="zh-CN"/>
        </w:rPr>
        <w:t>1.47万元</w:t>
      </w:r>
      <w:r>
        <w:rPr>
          <w:rFonts w:hint="eastAsia" w:ascii="仿宋" w:hAnsi="仿宋" w:eastAsia="仿宋"/>
          <w:color w:val="auto"/>
          <w:sz w:val="32"/>
          <w:szCs w:val="32"/>
          <w:highlight w:val="none"/>
        </w:rPr>
        <w:t>、公务用车运行维护费</w:t>
      </w:r>
      <w:r>
        <w:rPr>
          <w:rFonts w:hint="eastAsia" w:ascii="仿宋" w:hAnsi="仿宋" w:eastAsia="仿宋"/>
          <w:color w:val="auto"/>
          <w:sz w:val="32"/>
          <w:szCs w:val="32"/>
          <w:highlight w:val="none"/>
          <w:lang w:val="en-US" w:eastAsia="zh-CN"/>
        </w:rPr>
        <w:t>3.54万元</w:t>
      </w:r>
      <w:r>
        <w:rPr>
          <w:rFonts w:hint="eastAsia" w:ascii="仿宋" w:hAnsi="仿宋" w:eastAsia="仿宋"/>
          <w:color w:val="auto"/>
          <w:sz w:val="32"/>
          <w:szCs w:val="32"/>
          <w:highlight w:val="none"/>
        </w:rPr>
        <w:t>、其他商品和服务支出</w:t>
      </w:r>
      <w:r>
        <w:rPr>
          <w:rFonts w:hint="eastAsia" w:ascii="仿宋" w:hAnsi="仿宋" w:eastAsia="仿宋"/>
          <w:color w:val="auto"/>
          <w:sz w:val="32"/>
          <w:szCs w:val="32"/>
          <w:highlight w:val="none"/>
          <w:lang w:val="en-US" w:eastAsia="zh-CN"/>
        </w:rPr>
        <w:t>28.42万元</w:t>
      </w:r>
      <w:r>
        <w:rPr>
          <w:rFonts w:hint="eastAsia" w:ascii="仿宋" w:hAnsi="仿宋" w:eastAsia="仿宋"/>
          <w:color w:val="auto"/>
          <w:sz w:val="32"/>
          <w:szCs w:val="32"/>
          <w:highlight w:val="none"/>
        </w:rPr>
        <w:t>等。</w:t>
      </w:r>
    </w:p>
    <w:p>
      <w:pPr>
        <w:spacing w:line="600" w:lineRule="exact"/>
        <w:ind w:firstLine="640"/>
        <w:outlineLvl w:val="1"/>
        <w:rPr>
          <w:rStyle w:val="26"/>
          <w:rFonts w:ascii="黑体" w:hAnsi="黑体" w:eastAsia="黑体"/>
          <w:b w:val="0"/>
          <w:color w:val="auto"/>
          <w:highlight w:val="none"/>
        </w:rPr>
      </w:pPr>
      <w:bookmarkStart w:id="36" w:name="_Toc15377215"/>
      <w:bookmarkStart w:id="37" w:name="_Toc15396609"/>
      <w:r>
        <w:rPr>
          <w:rFonts w:hint="eastAsia" w:ascii="黑体" w:eastAsia="黑体"/>
          <w:color w:val="auto"/>
          <w:sz w:val="32"/>
          <w:szCs w:val="32"/>
          <w:highlight w:val="none"/>
        </w:rPr>
        <w:t>七、</w:t>
      </w:r>
      <w:r>
        <w:rPr>
          <w:rStyle w:val="26"/>
          <w:rFonts w:hint="eastAsia" w:ascii="黑体" w:hAnsi="黑体" w:eastAsia="黑体"/>
          <w:color w:val="auto"/>
          <w:highlight w:val="none"/>
        </w:rPr>
        <w:t>“</w:t>
      </w:r>
      <w:r>
        <w:rPr>
          <w:rStyle w:val="26"/>
          <w:rFonts w:hint="eastAsia" w:ascii="黑体" w:hAnsi="黑体" w:eastAsia="黑体"/>
          <w:b w:val="0"/>
          <w:color w:val="auto"/>
          <w:highlight w:val="none"/>
        </w:rPr>
        <w:t>三公”经费财政拨款支出决算情况说明</w:t>
      </w:r>
      <w:bookmarkEnd w:id="36"/>
      <w:bookmarkEnd w:id="37"/>
    </w:p>
    <w:p>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3.66</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30.50</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，决算数小于预算数的主要原因是减少车辆维修费用。</w:t>
      </w:r>
    </w:p>
    <w:p>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年“三公”经费财政拨款支出决算中，公务用车购置及运行维护费支出决算</w:t>
      </w:r>
      <w:r>
        <w:rPr>
          <w:rFonts w:hint="eastAsia" w:ascii="仿宋" w:hAnsi="仿宋" w:eastAsia="仿宋"/>
          <w:color w:val="auto"/>
          <w:sz w:val="32"/>
          <w:szCs w:val="32"/>
          <w:highlight w:val="none"/>
          <w:lang w:val="en-US" w:eastAsia="zh-CN"/>
        </w:rPr>
        <w:t>3.54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96.72</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0.12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3.28</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pStyle w:val="6"/>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67456" behindDoc="0" locked="0" layoutInCell="1" allowOverlap="1">
            <wp:simplePos x="0" y="0"/>
            <wp:positionH relativeFrom="column">
              <wp:posOffset>833120</wp:posOffset>
            </wp:positionH>
            <wp:positionV relativeFrom="paragraph">
              <wp:posOffset>280035</wp:posOffset>
            </wp:positionV>
            <wp:extent cx="3766185" cy="2715260"/>
            <wp:effectExtent l="4445" t="4445" r="20320" b="23495"/>
            <wp:wrapNone/>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pStyle w:val="6"/>
        <w:rPr>
          <w:rFonts w:hint="eastAsia" w:ascii="仿宋" w:hAnsi="仿宋" w:eastAsia="仿宋"/>
          <w:color w:val="auto"/>
          <w:sz w:val="32"/>
          <w:szCs w:val="32"/>
          <w:highlight w:val="none"/>
        </w:rPr>
      </w:pPr>
    </w:p>
    <w:p>
      <w:pPr>
        <w:pStyle w:val="6"/>
        <w:rPr>
          <w:rFonts w:hint="eastAsia" w:ascii="仿宋" w:hAnsi="仿宋" w:eastAsia="仿宋"/>
          <w:color w:val="auto"/>
          <w:sz w:val="32"/>
          <w:szCs w:val="32"/>
          <w:highlight w:val="none"/>
        </w:rPr>
      </w:pPr>
    </w:p>
    <w:p>
      <w:pPr>
        <w:pStyle w:val="6"/>
        <w:rPr>
          <w:rFonts w:hint="eastAsia" w:ascii="仿宋" w:hAnsi="仿宋" w:eastAsia="仿宋"/>
          <w:color w:val="auto"/>
          <w:sz w:val="32"/>
          <w:szCs w:val="32"/>
          <w:highlight w:val="none"/>
        </w:rPr>
      </w:pPr>
    </w:p>
    <w:p>
      <w:pPr>
        <w:pStyle w:val="6"/>
        <w:rPr>
          <w:rFonts w:hint="eastAsia" w:ascii="仿宋" w:hAnsi="仿宋" w:eastAsia="仿宋"/>
          <w:color w:val="auto"/>
          <w:sz w:val="32"/>
          <w:szCs w:val="32"/>
          <w:highlight w:val="none"/>
        </w:rPr>
      </w:pPr>
    </w:p>
    <w:p>
      <w:pPr>
        <w:pStyle w:val="6"/>
        <w:rPr>
          <w:rFonts w:hint="eastAsia" w:ascii="仿宋" w:hAnsi="仿宋" w:eastAsia="仿宋"/>
          <w:color w:val="auto"/>
          <w:sz w:val="32"/>
          <w:szCs w:val="32"/>
          <w:highlight w:val="none"/>
        </w:rPr>
      </w:pPr>
    </w:p>
    <w:p>
      <w:pPr>
        <w:pStyle w:val="6"/>
        <w:rPr>
          <w:rFonts w:hint="eastAsia" w:ascii="仿宋" w:hAnsi="仿宋" w:eastAsia="仿宋"/>
          <w:color w:val="auto"/>
          <w:sz w:val="32"/>
          <w:szCs w:val="32"/>
          <w:highlight w:val="none"/>
        </w:rPr>
      </w:pPr>
    </w:p>
    <w:p>
      <w:pPr>
        <w:spacing w:line="600" w:lineRule="exact"/>
        <w:ind w:firstLine="640"/>
        <w:rPr>
          <w:rFonts w:ascii="仿宋_GB2312" w:eastAsia="仿宋_GB2312"/>
          <w:b/>
          <w:color w:val="auto"/>
          <w:sz w:val="32"/>
          <w:szCs w:val="32"/>
          <w:highlight w:val="none"/>
        </w:rPr>
      </w:pPr>
      <w:r>
        <w:rPr>
          <w:rFonts w:ascii="仿宋_GB2312" w:eastAsia="仿宋_GB2312"/>
          <w:b w:val="0"/>
          <w:bCs/>
          <w:color w:val="auto"/>
          <w:sz w:val="32"/>
          <w:szCs w:val="32"/>
          <w:highlight w:val="none"/>
        </w:rPr>
        <w:t>1.</w:t>
      </w:r>
      <w:r>
        <w:rPr>
          <w:rFonts w:hint="eastAsia" w:ascii="仿宋_GB2312" w:eastAsia="仿宋_GB2312"/>
          <w:b w:val="0"/>
          <w:bCs/>
          <w:color w:val="auto"/>
          <w:sz w:val="32"/>
          <w:szCs w:val="32"/>
          <w:highlight w:val="none"/>
        </w:rPr>
        <w:t>因公出国（境）经费支出</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万元</w:t>
      </w:r>
      <w:r>
        <w:rPr>
          <w:rFonts w:hint="eastAsia" w:ascii="仿宋_GB2312" w:eastAsia="仿宋_GB2312"/>
          <w:color w:val="auto"/>
          <w:sz w:val="32"/>
          <w:szCs w:val="32"/>
          <w:highlight w:val="none"/>
        </w:rPr>
        <w:t>。</w:t>
      </w:r>
    </w:p>
    <w:p>
      <w:pPr>
        <w:spacing w:line="600" w:lineRule="exact"/>
        <w:ind w:firstLine="640"/>
        <w:rPr>
          <w:rFonts w:ascii="仿宋_GB2312" w:eastAsia="仿宋_GB2312"/>
          <w:b w:val="0"/>
          <w:bCs/>
          <w:color w:val="auto"/>
          <w:sz w:val="32"/>
          <w:szCs w:val="32"/>
          <w:highlight w:val="yellow"/>
        </w:rPr>
      </w:pPr>
      <w:r>
        <w:rPr>
          <w:rFonts w:ascii="仿宋_GB2312" w:eastAsia="仿宋_GB2312"/>
          <w:b w:val="0"/>
          <w:bCs/>
          <w:color w:val="auto"/>
          <w:sz w:val="32"/>
          <w:szCs w:val="32"/>
          <w:highlight w:val="none"/>
        </w:rPr>
        <w:t>2.</w:t>
      </w:r>
      <w:r>
        <w:rPr>
          <w:rFonts w:hint="eastAsia" w:ascii="仿宋_GB2312" w:eastAsia="仿宋_GB2312"/>
          <w:b w:val="0"/>
          <w:bCs/>
          <w:color w:val="auto"/>
          <w:sz w:val="32"/>
          <w:szCs w:val="32"/>
          <w:highlight w:val="none"/>
        </w:rPr>
        <w:t>公务用车购置及运行维护费支出</w:t>
      </w:r>
      <w:r>
        <w:rPr>
          <w:rFonts w:hint="eastAsia" w:ascii="仿宋_GB2312" w:eastAsia="仿宋_GB2312"/>
          <w:b w:val="0"/>
          <w:bCs/>
          <w:color w:val="auto"/>
          <w:sz w:val="32"/>
          <w:szCs w:val="32"/>
          <w:highlight w:val="none"/>
          <w:lang w:val="en-US" w:eastAsia="zh-CN"/>
        </w:rPr>
        <w:t>3.54</w:t>
      </w:r>
      <w:r>
        <w:rPr>
          <w:rFonts w:hint="eastAsia" w:ascii="仿宋_GB2312" w:eastAsia="仿宋_GB2312"/>
          <w:b w:val="0"/>
          <w:bCs/>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32.18</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b w:val="0"/>
          <w:bCs/>
          <w:color w:val="auto"/>
          <w:sz w:val="32"/>
          <w:szCs w:val="32"/>
          <w:highlight w:val="none"/>
        </w:rPr>
        <w:t>公务用车购置及运行维护费支出决算比</w:t>
      </w:r>
      <w:r>
        <w:rPr>
          <w:rFonts w:ascii="仿宋_GB2312" w:eastAsia="仿宋_GB2312"/>
          <w:b w:val="0"/>
          <w:bCs/>
          <w:color w:val="auto"/>
          <w:sz w:val="32"/>
          <w:szCs w:val="32"/>
          <w:highlight w:val="none"/>
        </w:rPr>
        <w:t>20</w:t>
      </w:r>
      <w:r>
        <w:rPr>
          <w:rFonts w:hint="eastAsia" w:ascii="仿宋_GB2312" w:eastAsia="仿宋_GB2312"/>
          <w:b w:val="0"/>
          <w:bCs/>
          <w:color w:val="auto"/>
          <w:sz w:val="32"/>
          <w:szCs w:val="32"/>
          <w:highlight w:val="none"/>
          <w:lang w:val="en-US" w:eastAsia="zh-CN"/>
        </w:rPr>
        <w:t>20</w:t>
      </w:r>
      <w:r>
        <w:rPr>
          <w:rFonts w:hint="eastAsia" w:ascii="仿宋_GB2312" w:eastAsia="仿宋_GB2312"/>
          <w:b w:val="0"/>
          <w:bCs/>
          <w:color w:val="auto"/>
          <w:sz w:val="32"/>
          <w:szCs w:val="32"/>
          <w:highlight w:val="none"/>
        </w:rPr>
        <w:t>年减少</w:t>
      </w:r>
      <w:r>
        <w:rPr>
          <w:rFonts w:hint="eastAsia" w:ascii="仿宋_GB2312" w:eastAsia="仿宋_GB2312"/>
          <w:b w:val="0"/>
          <w:bCs/>
          <w:color w:val="auto"/>
          <w:sz w:val="32"/>
          <w:szCs w:val="32"/>
          <w:highlight w:val="none"/>
          <w:lang w:val="en-US" w:eastAsia="zh-CN"/>
        </w:rPr>
        <w:t>5.54</w:t>
      </w:r>
      <w:r>
        <w:rPr>
          <w:rFonts w:hint="eastAsia" w:ascii="仿宋_GB2312" w:eastAsia="仿宋_GB2312"/>
          <w:b w:val="0"/>
          <w:bCs/>
          <w:color w:val="auto"/>
          <w:sz w:val="32"/>
          <w:szCs w:val="32"/>
          <w:highlight w:val="none"/>
        </w:rPr>
        <w:t>万元，下降</w:t>
      </w:r>
      <w:r>
        <w:rPr>
          <w:rFonts w:hint="eastAsia" w:ascii="仿宋_GB2312" w:eastAsia="仿宋_GB2312"/>
          <w:b w:val="0"/>
          <w:bCs/>
          <w:color w:val="auto"/>
          <w:sz w:val="32"/>
          <w:szCs w:val="32"/>
          <w:highlight w:val="none"/>
          <w:lang w:val="en-US" w:eastAsia="zh-CN"/>
        </w:rPr>
        <w:t>60.99</w:t>
      </w:r>
      <w:r>
        <w:rPr>
          <w:rFonts w:ascii="仿宋_GB2312" w:eastAsia="仿宋_GB2312"/>
          <w:b w:val="0"/>
          <w:bCs/>
          <w:color w:val="auto"/>
          <w:sz w:val="32"/>
          <w:szCs w:val="32"/>
          <w:highlight w:val="none"/>
        </w:rPr>
        <w:t>%</w:t>
      </w:r>
      <w:r>
        <w:rPr>
          <w:rFonts w:hint="eastAsia" w:ascii="仿宋_GB2312" w:eastAsia="仿宋_GB2312"/>
          <w:b w:val="0"/>
          <w:bCs/>
          <w:color w:val="auto"/>
          <w:sz w:val="32"/>
          <w:szCs w:val="32"/>
          <w:highlight w:val="none"/>
        </w:rPr>
        <w:t>。主要原因是减少车辆维修费用。</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val="0"/>
          <w:bCs/>
          <w:color w:val="auto"/>
          <w:sz w:val="32"/>
          <w:szCs w:val="32"/>
          <w:highlight w:val="none"/>
        </w:rPr>
        <w:t>公务用车购置支出</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万元。</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公务用车运行维护费支出</w:t>
      </w:r>
      <w:r>
        <w:rPr>
          <w:rFonts w:hint="eastAsia" w:ascii="仿宋_GB2312" w:eastAsia="仿宋_GB2312"/>
          <w:color w:val="auto"/>
          <w:sz w:val="32"/>
          <w:szCs w:val="32"/>
          <w:highlight w:val="none"/>
          <w:lang w:val="en-US" w:eastAsia="zh-CN"/>
        </w:rPr>
        <w:t>3.54</w:t>
      </w:r>
      <w:r>
        <w:rPr>
          <w:rFonts w:hint="eastAsia" w:ascii="仿宋_GB2312" w:eastAsia="仿宋_GB2312"/>
          <w:color w:val="auto"/>
          <w:sz w:val="32"/>
          <w:szCs w:val="32"/>
          <w:highlight w:val="none"/>
        </w:rPr>
        <w:t>万元。主要用于城市照明巡查、排水防涝监督指导、市住房城乡建设相关技术性、事务性、辅助性工作等所需的公务用车燃料费、维修费、过路过桥费、保险费等支出。</w:t>
      </w:r>
    </w:p>
    <w:p>
      <w:pPr>
        <w:spacing w:line="600" w:lineRule="exact"/>
        <w:ind w:firstLine="640"/>
        <w:rPr>
          <w:rFonts w:ascii="仿宋_GB2312" w:eastAsia="仿宋_GB2312"/>
          <w:b w:val="0"/>
          <w:bCs/>
          <w:color w:val="auto"/>
          <w:sz w:val="32"/>
          <w:szCs w:val="32"/>
          <w:highlight w:val="none"/>
        </w:rPr>
      </w:pPr>
      <w:r>
        <w:rPr>
          <w:rFonts w:ascii="仿宋_GB2312" w:eastAsia="仿宋_GB2312"/>
          <w:b w:val="0"/>
          <w:bCs/>
          <w:color w:val="auto"/>
          <w:sz w:val="32"/>
          <w:szCs w:val="32"/>
          <w:highlight w:val="none"/>
        </w:rPr>
        <w:t>3.</w:t>
      </w:r>
      <w:r>
        <w:rPr>
          <w:rFonts w:hint="eastAsia" w:ascii="仿宋_GB2312" w:eastAsia="仿宋_GB2312"/>
          <w:b w:val="0"/>
          <w:bCs/>
          <w:color w:val="auto"/>
          <w:sz w:val="32"/>
          <w:szCs w:val="32"/>
          <w:highlight w:val="none"/>
        </w:rPr>
        <w:t>公务接待费支出</w:t>
      </w:r>
      <w:r>
        <w:rPr>
          <w:rFonts w:hint="eastAsia" w:ascii="仿宋_GB2312" w:eastAsia="仿宋_GB2312"/>
          <w:b w:val="0"/>
          <w:bCs/>
          <w:color w:val="auto"/>
          <w:sz w:val="32"/>
          <w:szCs w:val="32"/>
          <w:highlight w:val="none"/>
          <w:lang w:val="en-US" w:eastAsia="zh-CN"/>
        </w:rPr>
        <w:t>0.12</w:t>
      </w:r>
      <w:r>
        <w:rPr>
          <w:rFonts w:hint="eastAsia" w:ascii="仿宋_GB2312" w:eastAsia="仿宋_GB2312"/>
          <w:b w:val="0"/>
          <w:bCs/>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12.00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b w:val="0"/>
          <w:bCs/>
          <w:color w:val="auto"/>
          <w:sz w:val="32"/>
          <w:szCs w:val="32"/>
          <w:highlight w:val="none"/>
        </w:rPr>
        <w:t>公务接待费支出决算比</w:t>
      </w:r>
      <w:r>
        <w:rPr>
          <w:rFonts w:ascii="仿宋_GB2312" w:eastAsia="仿宋_GB2312"/>
          <w:b w:val="0"/>
          <w:bCs/>
          <w:color w:val="auto"/>
          <w:sz w:val="32"/>
          <w:szCs w:val="32"/>
          <w:highlight w:val="none"/>
        </w:rPr>
        <w:t>20</w:t>
      </w:r>
      <w:r>
        <w:rPr>
          <w:rFonts w:hint="eastAsia" w:ascii="仿宋_GB2312" w:eastAsia="仿宋_GB2312"/>
          <w:b w:val="0"/>
          <w:bCs/>
          <w:color w:val="auto"/>
          <w:sz w:val="32"/>
          <w:szCs w:val="32"/>
          <w:highlight w:val="none"/>
          <w:lang w:val="en-US" w:eastAsia="zh-CN"/>
        </w:rPr>
        <w:t>20</w:t>
      </w:r>
      <w:r>
        <w:rPr>
          <w:rFonts w:hint="eastAsia" w:ascii="仿宋_GB2312" w:eastAsia="仿宋_GB2312"/>
          <w:b w:val="0"/>
          <w:bCs/>
          <w:color w:val="auto"/>
          <w:sz w:val="32"/>
          <w:szCs w:val="32"/>
          <w:highlight w:val="none"/>
        </w:rPr>
        <w:t>年增加</w:t>
      </w:r>
      <w:r>
        <w:rPr>
          <w:rFonts w:hint="eastAsia" w:ascii="仿宋_GB2312" w:eastAsia="仿宋_GB2312"/>
          <w:b w:val="0"/>
          <w:bCs/>
          <w:color w:val="auto"/>
          <w:sz w:val="32"/>
          <w:szCs w:val="32"/>
          <w:highlight w:val="none"/>
          <w:lang w:val="en-US" w:eastAsia="zh-CN"/>
        </w:rPr>
        <w:t>0.03</w:t>
      </w:r>
      <w:r>
        <w:rPr>
          <w:rFonts w:hint="eastAsia" w:ascii="仿宋_GB2312" w:eastAsia="仿宋_GB2312"/>
          <w:b w:val="0"/>
          <w:bCs/>
          <w:color w:val="auto"/>
          <w:sz w:val="32"/>
          <w:szCs w:val="32"/>
          <w:highlight w:val="none"/>
        </w:rPr>
        <w:t>万元，增长</w:t>
      </w:r>
      <w:r>
        <w:rPr>
          <w:rFonts w:hint="eastAsia" w:ascii="仿宋_GB2312" w:eastAsia="仿宋_GB2312"/>
          <w:b w:val="0"/>
          <w:bCs/>
          <w:color w:val="auto"/>
          <w:sz w:val="32"/>
          <w:szCs w:val="32"/>
          <w:highlight w:val="none"/>
          <w:lang w:val="en-US" w:eastAsia="zh-CN"/>
        </w:rPr>
        <w:t>33.33</w:t>
      </w:r>
      <w:r>
        <w:rPr>
          <w:rFonts w:ascii="仿宋_GB2312" w:eastAsia="仿宋_GB2312"/>
          <w:b w:val="0"/>
          <w:bCs/>
          <w:color w:val="auto"/>
          <w:sz w:val="32"/>
          <w:szCs w:val="32"/>
          <w:highlight w:val="none"/>
        </w:rPr>
        <w:t>%</w:t>
      </w:r>
      <w:r>
        <w:rPr>
          <w:rFonts w:hint="eastAsia" w:ascii="仿宋_GB2312" w:eastAsia="仿宋_GB2312"/>
          <w:b w:val="0"/>
          <w:bCs/>
          <w:color w:val="auto"/>
          <w:sz w:val="32"/>
          <w:szCs w:val="32"/>
          <w:highlight w:val="none"/>
        </w:rPr>
        <w:t>。主要原因是2021年增加1批次公务接待。其中：</w:t>
      </w:r>
    </w:p>
    <w:p>
      <w:pPr>
        <w:spacing w:line="600" w:lineRule="exact"/>
        <w:ind w:firstLine="640"/>
        <w:rPr>
          <w:rFonts w:ascii="仿宋_GB2312" w:eastAsia="仿宋_GB2312"/>
          <w:color w:val="auto"/>
          <w:sz w:val="32"/>
          <w:szCs w:val="32"/>
          <w:highlight w:val="none"/>
        </w:rPr>
      </w:pPr>
      <w:r>
        <w:rPr>
          <w:rFonts w:hint="eastAsia" w:ascii="仿宋" w:hAnsi="仿宋" w:eastAsia="仿宋"/>
          <w:b w:val="0"/>
          <w:bCs/>
          <w:color w:val="auto"/>
          <w:sz w:val="32"/>
          <w:szCs w:val="32"/>
          <w:highlight w:val="none"/>
        </w:rPr>
        <w:t>国内公务接待支出</w:t>
      </w:r>
      <w:r>
        <w:rPr>
          <w:rFonts w:hint="eastAsia" w:ascii="仿宋" w:hAnsi="仿宋" w:eastAsia="仿宋"/>
          <w:b w:val="0"/>
          <w:bCs/>
          <w:color w:val="auto"/>
          <w:sz w:val="32"/>
          <w:szCs w:val="32"/>
          <w:highlight w:val="none"/>
          <w:lang w:val="en-US" w:eastAsia="zh-CN"/>
        </w:rPr>
        <w:t>0.12</w:t>
      </w:r>
      <w:r>
        <w:rPr>
          <w:rFonts w:hint="eastAsia" w:ascii="仿宋_GB2312" w:eastAsia="仿宋_GB2312"/>
          <w:b w:val="0"/>
          <w:bCs/>
          <w:color w:val="auto"/>
          <w:sz w:val="32"/>
          <w:szCs w:val="32"/>
          <w:highlight w:val="none"/>
        </w:rPr>
        <w:t>万</w:t>
      </w:r>
      <w:r>
        <w:rPr>
          <w:rFonts w:hint="eastAsia" w:ascii="仿宋_GB2312" w:eastAsia="仿宋_GB2312"/>
          <w:color w:val="auto"/>
          <w:sz w:val="32"/>
          <w:szCs w:val="32"/>
          <w:highlight w:val="none"/>
        </w:rPr>
        <w:t>元，主要用于开展业务活动开支的用餐费等。国内公务接待</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0.12</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val="en-US" w:eastAsia="zh-CN"/>
        </w:rPr>
        <w:t>2021年6月29日，接待西部水都设计师现场勘察7人0.70万元，2021年6月30，接待西部水都项目设计师团队现场勘察5人0.50元</w:t>
      </w:r>
      <w:r>
        <w:rPr>
          <w:rFonts w:hint="eastAsia" w:ascii="仿宋_GB2312" w:eastAsia="仿宋_GB2312"/>
          <w:color w:val="auto"/>
          <w:sz w:val="32"/>
          <w:szCs w:val="32"/>
          <w:highlight w:val="none"/>
        </w:rPr>
        <w:t>。</w:t>
      </w:r>
    </w:p>
    <w:p>
      <w:pPr>
        <w:spacing w:line="600" w:lineRule="exact"/>
        <w:ind w:firstLine="640" w:firstLineChars="200"/>
        <w:rPr>
          <w:rFonts w:ascii="黑体" w:eastAsia="黑体"/>
          <w:b w:val="0"/>
          <w:bCs/>
          <w:color w:val="auto"/>
          <w:sz w:val="32"/>
          <w:szCs w:val="32"/>
          <w:highlight w:val="none"/>
        </w:rPr>
      </w:pPr>
      <w:r>
        <w:rPr>
          <w:rFonts w:hint="eastAsia" w:ascii="仿宋" w:hAnsi="仿宋" w:eastAsia="仿宋"/>
          <w:b w:val="0"/>
          <w:bCs/>
          <w:color w:val="auto"/>
          <w:sz w:val="32"/>
          <w:szCs w:val="32"/>
          <w:highlight w:val="none"/>
        </w:rPr>
        <w:t>外事接待支出</w:t>
      </w:r>
      <w:r>
        <w:rPr>
          <w:rFonts w:hint="eastAsia" w:ascii="仿宋" w:hAnsi="仿宋" w:eastAsia="仿宋"/>
          <w:b w:val="0"/>
          <w:bCs/>
          <w:color w:val="auto"/>
          <w:sz w:val="32"/>
          <w:szCs w:val="32"/>
          <w:highlight w:val="none"/>
          <w:lang w:val="en-US" w:eastAsia="zh-CN"/>
        </w:rPr>
        <w:t>0</w:t>
      </w:r>
      <w:r>
        <w:rPr>
          <w:rFonts w:hint="eastAsia" w:ascii="仿宋_GB2312" w:eastAsia="仿宋_GB2312"/>
          <w:b w:val="0"/>
          <w:bCs/>
          <w:color w:val="auto"/>
          <w:sz w:val="32"/>
          <w:szCs w:val="32"/>
          <w:highlight w:val="none"/>
        </w:rPr>
        <w:t>万元，外事接待</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批次，</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人，共计支出</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万元</w:t>
      </w:r>
      <w:r>
        <w:rPr>
          <w:rFonts w:hint="eastAsia" w:ascii="仿宋_GB2312" w:eastAsia="仿宋_GB2312"/>
          <w:b w:val="0"/>
          <w:bCs/>
          <w:color w:val="auto"/>
          <w:sz w:val="32"/>
          <w:szCs w:val="32"/>
          <w:highlight w:val="none"/>
          <w:lang w:eastAsia="zh-CN"/>
        </w:rPr>
        <w:t>。</w:t>
      </w:r>
      <w:bookmarkStart w:id="40" w:name="_Toc15396610"/>
      <w:bookmarkStart w:id="41" w:name="_Toc15377218"/>
    </w:p>
    <w:p>
      <w:pPr>
        <w:spacing w:line="600" w:lineRule="exact"/>
        <w:ind w:firstLine="640"/>
        <w:outlineLvl w:val="1"/>
        <w:rPr>
          <w:rStyle w:val="26"/>
          <w:rFonts w:ascii="黑体" w:hAnsi="黑体" w:eastAsia="黑体"/>
          <w:color w:val="auto"/>
          <w:highlight w:val="none"/>
        </w:rPr>
      </w:pPr>
      <w:r>
        <w:rPr>
          <w:rFonts w:hint="eastAsia" w:ascii="黑体" w:eastAsia="黑体"/>
          <w:color w:val="auto"/>
          <w:sz w:val="32"/>
          <w:szCs w:val="32"/>
          <w:highlight w:val="none"/>
        </w:rPr>
        <w:t>八、</w:t>
      </w:r>
      <w:r>
        <w:rPr>
          <w:rStyle w:val="26"/>
          <w:rFonts w:hint="eastAsia" w:ascii="黑体" w:hAnsi="黑体" w:eastAsia="黑体"/>
          <w:b w:val="0"/>
          <w:color w:val="auto"/>
          <w:highlight w:val="none"/>
        </w:rPr>
        <w:t>政府性基金预算支出决算情况说明</w:t>
      </w:r>
      <w:bookmarkEnd w:id="40"/>
      <w:bookmarkEnd w:id="4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2"/>
        </w:numPr>
        <w:spacing w:line="600" w:lineRule="exact"/>
        <w:ind w:firstLine="640"/>
        <w:outlineLvl w:val="1"/>
        <w:rPr>
          <w:rStyle w:val="26"/>
          <w:rFonts w:ascii="黑体" w:hAnsi="黑体" w:eastAsia="黑体"/>
          <w:b w:val="0"/>
          <w:color w:val="auto"/>
          <w:highlight w:val="none"/>
        </w:rPr>
      </w:pPr>
      <w:bookmarkStart w:id="42" w:name="_Toc15377219"/>
      <w:bookmarkStart w:id="43" w:name="_Toc15396611"/>
      <w:r>
        <w:rPr>
          <w:rStyle w:val="26"/>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2"/>
        </w:numPr>
        <w:spacing w:line="600" w:lineRule="exact"/>
        <w:ind w:firstLine="640"/>
        <w:outlineLvl w:val="1"/>
        <w:rPr>
          <w:rStyle w:val="26"/>
          <w:rFonts w:hint="eastAsia" w:ascii="黑体" w:hAnsi="黑体" w:eastAsia="黑体"/>
          <w:b w:val="0"/>
          <w:color w:val="auto"/>
          <w:highlight w:val="none"/>
        </w:rPr>
      </w:pPr>
      <w:bookmarkStart w:id="44" w:name="_Toc15396612"/>
      <w:bookmarkStart w:id="45" w:name="_Toc15377221"/>
      <w:r>
        <w:rPr>
          <w:rStyle w:val="26"/>
          <w:rFonts w:hint="eastAsia" w:ascii="黑体" w:hAnsi="黑体" w:eastAsia="黑体"/>
          <w:b w:val="0"/>
          <w:color w:val="auto"/>
          <w:highlight w:val="none"/>
        </w:rPr>
        <w:t>其他重要事项的情况说明</w:t>
      </w:r>
      <w:bookmarkEnd w:id="44"/>
      <w:bookmarkEnd w:id="45"/>
    </w:p>
    <w:p>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本单位属于遂宁市住房和城乡建设局下属二级事业单位，无机关运行经费支出。</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本单位</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本单位</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预算编制阶段，组织对“市中心城区环境整治亮化工程（一期）运行维护项目”</w:t>
      </w:r>
      <w:r>
        <w:rPr>
          <w:rFonts w:hint="eastAsia" w:ascii="仿宋_GB2312" w:hAnsi="仿宋_GB2312" w:eastAsia="仿宋_GB2312" w:cs="仿宋_GB2312"/>
          <w:color w:val="auto"/>
          <w:sz w:val="32"/>
          <w:szCs w:val="32"/>
          <w:highlight w:val="none"/>
          <w:lang w:eastAsia="zh-CN"/>
        </w:rPr>
        <w:t>、“市城区环境整治亮化工程运行电费项目”</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highlight w:val="none"/>
          <w:lang w:eastAsia="zh-CN"/>
        </w:rPr>
        <w:t>事务中心日常维修维护管理费”等</w:t>
      </w:r>
      <w:r>
        <w:rPr>
          <w:rFonts w:hint="eastAsia" w:ascii="仿宋_GB2312" w:hAnsi="仿宋_GB2312" w:eastAsia="仿宋_GB2312" w:cs="仿宋_GB2312"/>
          <w:color w:val="auto"/>
          <w:sz w:val="32"/>
          <w:szCs w:val="32"/>
          <w:highlight w:val="none"/>
          <w:lang w:val="en-US" w:eastAsia="zh-CN"/>
        </w:rPr>
        <w:t>3个项目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p>
    <w:p>
      <w:pPr>
        <w:pStyle w:val="6"/>
        <w:rPr>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3"/>
        </w:numPr>
        <w:spacing w:line="600" w:lineRule="exact"/>
        <w:ind w:firstLine="660" w:firstLineChars="150"/>
        <w:jc w:val="center"/>
        <w:outlineLvl w:val="0"/>
        <w:rPr>
          <w:rStyle w:val="25"/>
          <w:rFonts w:ascii="黑体" w:hAnsi="黑体" w:eastAsia="黑体"/>
          <w:b w:val="0"/>
          <w:color w:val="auto"/>
          <w:highlight w:val="none"/>
        </w:rPr>
      </w:pPr>
      <w:bookmarkStart w:id="49" w:name="_Toc15377225"/>
      <w:bookmarkStart w:id="50" w:name="_Toc15396613"/>
      <w:r>
        <w:rPr>
          <w:rFonts w:hint="eastAsia" w:ascii="黑体" w:hAnsi="黑体" w:eastAsia="黑体"/>
          <w:color w:val="auto"/>
          <w:sz w:val="44"/>
          <w:szCs w:val="44"/>
          <w:highlight w:val="none"/>
        </w:rPr>
        <w:t>名</w:t>
      </w:r>
      <w:r>
        <w:rPr>
          <w:rStyle w:val="25"/>
          <w:rFonts w:hint="eastAsia" w:ascii="黑体" w:hAnsi="黑体" w:eastAsia="黑体"/>
          <w:b w:val="0"/>
          <w:color w:val="auto"/>
          <w:highlight w:val="none"/>
        </w:rPr>
        <w:t>词解释</w:t>
      </w:r>
      <w:bookmarkEnd w:id="49"/>
      <w:bookmarkEnd w:id="50"/>
    </w:p>
    <w:p>
      <w:pPr>
        <w:spacing w:line="600" w:lineRule="exact"/>
        <w:jc w:val="left"/>
        <w:rPr>
          <w:rFonts w:ascii="宋体"/>
          <w:b/>
          <w:color w:val="auto"/>
          <w:sz w:val="44"/>
          <w:szCs w:val="44"/>
          <w:highlight w:val="none"/>
        </w:rPr>
      </w:pPr>
    </w:p>
    <w:p>
      <w:pPr>
        <w:pStyle w:val="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p>
    <w:p>
      <w:pPr>
        <w:pStyle w:val="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9.</w:t>
      </w:r>
      <w:r>
        <w:rPr>
          <w:rFonts w:hint="eastAsia" w:ascii="仿宋_GB2312" w:eastAsia="仿宋_GB2312"/>
          <w:color w:val="auto"/>
          <w:sz w:val="32"/>
          <w:szCs w:val="32"/>
          <w:highlight w:val="none"/>
        </w:rPr>
        <w:t>社会保障和就业(类)行政事业单位养老支出(款)事业单位离退休(项)</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指住房和城乡建设事务中心开支退休人员经费。</w:t>
      </w:r>
    </w:p>
    <w:p>
      <w:pPr>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10.</w:t>
      </w:r>
      <w:r>
        <w:rPr>
          <w:rFonts w:hint="eastAsia" w:ascii="仿宋_GB2312" w:eastAsia="仿宋_GB2312"/>
          <w:color w:val="auto"/>
          <w:sz w:val="32"/>
          <w:szCs w:val="32"/>
          <w:highlight w:val="none"/>
        </w:rPr>
        <w:t>社会保障和就业(类)行政事业单位养老支出(款)机关事业单位基本养老保险缴费支出(项)</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指住房和城乡建设事务中心开支基本养老保险经费。</w:t>
      </w:r>
    </w:p>
    <w:p>
      <w:pPr>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11.</w:t>
      </w:r>
      <w:r>
        <w:rPr>
          <w:rFonts w:hint="eastAsia" w:ascii="仿宋_GB2312" w:eastAsia="仿宋_GB2312"/>
          <w:color w:val="auto"/>
          <w:sz w:val="32"/>
          <w:szCs w:val="32"/>
          <w:highlight w:val="none"/>
        </w:rPr>
        <w:t>社会保障和就业(类)抚恤(款)死亡抚恤(项) :指住房和城乡建设事务中心开支死亡抚恤经费。</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12.卫生健康支出(类)行政事业单位医疗(款)事业单位医疗(项) :指住房和城乡建设事务中心开支单位医疗保险经费。</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13.城乡社区支出(类)城乡社区管理事务(款)一般行政管理事务(项) :指住房和城乡建设事务中心开支城市建设经费。</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14.城乡社区支出(类)城乡社区管理事务(款)其他城乡社区管理事务支出(项) :指住房和城乡建设事务中心用于城乡社区管理事务方面的支出。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15.城乡社区支出(类)城乡社区公共设施(款)其他城乡社区公共设施支出(项) :指住房和城乡建设事务中心用于城乡社区公共基础设施方面的支出。</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16.住房保障支出(类)住房改革支出(款)住房公积金(项) :指住房和城乡建设事务中心开支住房公积金。</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17.其他支出(类)其他支出(款)其他支出(项) :指住房和城乡建设事务中心开支退休人员经费。</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18.基本支出:指为保障机构正常运转、完成日常工作任务而发生的人员支出和公用支出。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19.项目支出:指在基本支出之外为完成特定行政任务和事业发展目标所发生的支出。</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20.经营支出:指事业单位在专业业务活动及其辅助活动之外开展非独立核算经营活动发生的支出。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21.“三公”经费：指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5"/>
          <w:rFonts w:ascii="黑体" w:hAnsi="黑体" w:eastAsia="黑体"/>
          <w:b w:val="0"/>
          <w:color w:val="auto"/>
          <w:highlight w:val="none"/>
        </w:rPr>
      </w:pPr>
      <w:bookmarkStart w:id="51" w:name="_Toc15377226"/>
      <w:r>
        <w:rPr>
          <w:rFonts w:ascii="宋体"/>
          <w:b/>
          <w:color w:val="auto"/>
          <w:sz w:val="44"/>
          <w:szCs w:val="44"/>
          <w:highlight w:val="none"/>
        </w:rPr>
        <w:br w:type="page"/>
      </w:r>
      <w:bookmarkStart w:id="52" w:name="_Toc15396614"/>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四部分 附件</w:t>
      </w:r>
      <w:bookmarkEnd w:id="52"/>
    </w:p>
    <w:p>
      <w:pPr>
        <w:spacing w:line="620" w:lineRule="exact"/>
        <w:jc w:val="both"/>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before="157" w:beforeLines="50" w:line="620" w:lineRule="exact"/>
        <w:jc w:val="center"/>
        <w:textAlignment w:val="auto"/>
        <w:rPr>
          <w:rFonts w:ascii="Times New Roman" w:hAnsi="Times New Roman" w:eastAsia="方正小标宋简体" w:cs="Times New Roman"/>
          <w:sz w:val="44"/>
          <w:szCs w:val="44"/>
          <w:shd w:val="clear" w:color="auto" w:fill="FFFFFF"/>
        </w:rPr>
      </w:pPr>
      <w:r>
        <w:rPr>
          <w:rFonts w:hint="eastAsia" w:ascii="Times New Roman" w:hAnsi="Times New Roman" w:eastAsia="方正小标宋简体" w:cs="Times New Roman"/>
          <w:sz w:val="44"/>
          <w:szCs w:val="44"/>
          <w:shd w:val="clear" w:color="auto" w:fill="FFFFFF"/>
        </w:rPr>
        <w:t>遂宁市住房和城乡建设事务中心</w:t>
      </w:r>
    </w:p>
    <w:p>
      <w:pPr>
        <w:keepNext w:val="0"/>
        <w:keepLines w:val="0"/>
        <w:pageBreakBefore w:val="0"/>
        <w:widowControl w:val="0"/>
        <w:kinsoku/>
        <w:wordWrap/>
        <w:overflowPunct/>
        <w:topLinePunct w:val="0"/>
        <w:autoSpaceDE/>
        <w:autoSpaceDN/>
        <w:bidi w:val="0"/>
        <w:adjustRightInd/>
        <w:snapToGrid/>
        <w:spacing w:before="157" w:beforeLines="50" w:line="620" w:lineRule="exact"/>
        <w:jc w:val="center"/>
        <w:textAlignment w:val="auto"/>
        <w:rPr>
          <w:rFonts w:ascii="Times New Roman" w:hAnsi="Times New Roman" w:eastAsia="方正小标宋简体" w:cs="Times New Roman"/>
          <w:sz w:val="44"/>
          <w:szCs w:val="44"/>
          <w:shd w:val="clear" w:color="auto" w:fill="FFFFFF"/>
        </w:rPr>
      </w:pPr>
      <w:r>
        <w:rPr>
          <w:rFonts w:ascii="Times New Roman" w:hAnsi="Times New Roman" w:eastAsia="方正小标宋简体" w:cs="Times New Roman"/>
          <w:sz w:val="44"/>
          <w:szCs w:val="44"/>
          <w:shd w:val="clear" w:color="auto" w:fill="FFFFFF"/>
        </w:rPr>
        <w:t>202</w:t>
      </w:r>
      <w:r>
        <w:rPr>
          <w:rFonts w:hint="eastAsia" w:ascii="Times New Roman" w:hAnsi="Times New Roman" w:eastAsia="方正小标宋简体" w:cs="Times New Roman"/>
          <w:sz w:val="44"/>
          <w:szCs w:val="44"/>
          <w:shd w:val="clear" w:color="auto" w:fill="FFFFFF"/>
          <w:lang w:val="en-US" w:eastAsia="zh-CN"/>
        </w:rPr>
        <w:t>1</w:t>
      </w:r>
      <w:r>
        <w:rPr>
          <w:rFonts w:hint="eastAsia" w:ascii="Times New Roman" w:hAnsi="Times New Roman" w:eastAsia="方正小标宋简体" w:cs="Times New Roman"/>
          <w:sz w:val="44"/>
          <w:szCs w:val="44"/>
          <w:shd w:val="clear" w:color="auto" w:fill="FFFFFF"/>
        </w:rPr>
        <w:t>年部门整体支出绩效</w:t>
      </w:r>
      <w:r>
        <w:rPr>
          <w:rFonts w:hint="eastAsia" w:ascii="Times New Roman" w:hAnsi="Times New Roman" w:eastAsia="方正小标宋简体" w:cs="Times New Roman"/>
          <w:sz w:val="44"/>
          <w:szCs w:val="44"/>
          <w:shd w:val="clear" w:color="auto" w:fill="FFFFFF"/>
          <w:lang w:val="zh-CN"/>
        </w:rPr>
        <w:t>评价</w:t>
      </w:r>
      <w:r>
        <w:rPr>
          <w:rFonts w:hint="eastAsia" w:ascii="Times New Roman" w:hAnsi="Times New Roman" w:eastAsia="方正小标宋简体" w:cs="Times New Roman"/>
          <w:sz w:val="44"/>
          <w:szCs w:val="44"/>
          <w:shd w:val="clear" w:color="auto" w:fill="FFFFFF"/>
        </w:rPr>
        <w:t>报告</w:t>
      </w:r>
    </w:p>
    <w:p>
      <w:pPr>
        <w:spacing w:line="546" w:lineRule="exact"/>
        <w:ind w:firstLine="880" w:firstLineChars="200"/>
        <w:rPr>
          <w:rFonts w:hint="eastAsia" w:eastAsia="微软雅黑" w:cs="微软雅黑"/>
          <w:kern w:val="0"/>
          <w:sz w:val="44"/>
          <w:szCs w:val="44"/>
          <w:lang w:val="zh-CN"/>
        </w:rPr>
      </w:pPr>
    </w:p>
    <w:p>
      <w:pPr>
        <w:pageBreakBefore w:val="0"/>
        <w:kinsoku/>
        <w:wordWrap/>
        <w:overflowPunct/>
        <w:topLinePunct w:val="0"/>
        <w:autoSpaceDE/>
        <w:autoSpaceDN/>
        <w:bidi w:val="0"/>
        <w:spacing w:line="600" w:lineRule="exact"/>
        <w:ind w:firstLine="640" w:firstLineChars="200"/>
        <w:textAlignment w:val="auto"/>
        <w:rPr>
          <w:rFonts w:eastAsia="黑体"/>
          <w:bCs/>
          <w:sz w:val="32"/>
          <w:szCs w:val="32"/>
        </w:rPr>
      </w:pPr>
      <w:r>
        <w:rPr>
          <w:rFonts w:hint="eastAsia" w:eastAsia="黑体"/>
          <w:bCs/>
          <w:sz w:val="32"/>
          <w:szCs w:val="32"/>
        </w:rPr>
        <w:t>一、部门概况</w:t>
      </w:r>
    </w:p>
    <w:p>
      <w:pPr>
        <w:pageBreakBefore w:val="0"/>
        <w:kinsoku/>
        <w:wordWrap/>
        <w:overflowPunct/>
        <w:topLinePunct w:val="0"/>
        <w:autoSpaceDE/>
        <w:autoSpaceDN/>
        <w:bidi w:val="0"/>
        <w:spacing w:line="600" w:lineRule="exact"/>
        <w:ind w:firstLine="321" w:firstLineChars="100"/>
        <w:textAlignment w:val="auto"/>
        <w:rPr>
          <w:rFonts w:eastAsia="楷体_GB2312"/>
          <w:b/>
          <w:sz w:val="32"/>
          <w:szCs w:val="32"/>
        </w:rPr>
      </w:pPr>
      <w:r>
        <w:rPr>
          <w:rFonts w:hint="eastAsia" w:eastAsia="楷体_GB2312"/>
          <w:b/>
          <w:sz w:val="32"/>
          <w:szCs w:val="32"/>
        </w:rPr>
        <w:t>（一）机构组成</w:t>
      </w:r>
    </w:p>
    <w:p>
      <w:pPr>
        <w:pageBreakBefore w:val="0"/>
        <w:widowControl/>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遂宁市住房和城乡建设事务中心为遂宁市住房和城乡建设局下属正科级公益一类事业单位，无下属单位。</w:t>
      </w:r>
    </w:p>
    <w:p>
      <w:pPr>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b/>
        </w:rPr>
      </w:pPr>
      <w:r>
        <w:rPr>
          <w:rFonts w:hint="eastAsia" w:ascii="仿宋_GB2312" w:hAnsi="仿宋_GB2312" w:eastAsia="仿宋_GB2312" w:cs="仿宋_GB2312"/>
          <w:sz w:val="32"/>
          <w:szCs w:val="32"/>
        </w:rPr>
        <w:t>遂宁市住房和城乡建设事务中心内设4个科室，分别是综合</w:t>
      </w:r>
      <w:r>
        <w:rPr>
          <w:rFonts w:hint="eastAsia" w:ascii="仿宋_GB2312" w:hAnsi="仿宋_GB2312" w:eastAsia="仿宋_GB2312" w:cs="仿宋_GB2312"/>
          <w:sz w:val="32"/>
          <w:szCs w:val="32"/>
          <w:lang w:val="en-US" w:eastAsia="zh-CN"/>
        </w:rPr>
        <w:t>室</w:t>
      </w:r>
      <w:r>
        <w:rPr>
          <w:rFonts w:hint="eastAsia" w:ascii="仿宋_GB2312" w:hAnsi="仿宋_GB2312" w:eastAsia="仿宋_GB2312" w:cs="仿宋_GB2312"/>
          <w:sz w:val="32"/>
          <w:szCs w:val="32"/>
        </w:rPr>
        <w:t>、市政</w:t>
      </w:r>
      <w:r>
        <w:rPr>
          <w:rFonts w:hint="eastAsia" w:ascii="仿宋_GB2312" w:hAnsi="仿宋_GB2312" w:eastAsia="仿宋_GB2312" w:cs="仿宋_GB2312"/>
          <w:sz w:val="32"/>
          <w:szCs w:val="32"/>
          <w:lang w:val="en-US" w:eastAsia="zh-CN"/>
        </w:rPr>
        <w:t>室</w:t>
      </w:r>
      <w:r>
        <w:rPr>
          <w:rFonts w:hint="eastAsia" w:ascii="仿宋_GB2312" w:hAnsi="仿宋_GB2312" w:eastAsia="仿宋_GB2312" w:cs="仿宋_GB2312"/>
          <w:sz w:val="32"/>
          <w:szCs w:val="32"/>
        </w:rPr>
        <w:t>、园林</w:t>
      </w:r>
      <w:r>
        <w:rPr>
          <w:rFonts w:hint="eastAsia" w:ascii="仿宋_GB2312" w:hAnsi="仿宋_GB2312" w:eastAsia="仿宋_GB2312" w:cs="仿宋_GB2312"/>
          <w:sz w:val="32"/>
          <w:szCs w:val="32"/>
          <w:lang w:val="en-US" w:eastAsia="zh-CN"/>
        </w:rPr>
        <w:t>室</w:t>
      </w:r>
      <w:r>
        <w:rPr>
          <w:rFonts w:hint="eastAsia" w:ascii="仿宋_GB2312" w:hAnsi="仿宋_GB2312" w:eastAsia="仿宋_GB2312" w:cs="仿宋_GB2312"/>
          <w:sz w:val="32"/>
          <w:szCs w:val="32"/>
        </w:rPr>
        <w:t>、消防</w:t>
      </w:r>
      <w:r>
        <w:rPr>
          <w:rFonts w:hint="eastAsia" w:ascii="仿宋_GB2312" w:hAnsi="仿宋_GB2312" w:eastAsia="仿宋_GB2312" w:cs="仿宋_GB2312"/>
          <w:sz w:val="32"/>
          <w:szCs w:val="32"/>
          <w:lang w:val="en-US" w:eastAsia="zh-CN"/>
        </w:rPr>
        <w:t>室</w:t>
      </w:r>
      <w:r>
        <w:rPr>
          <w:rFonts w:hint="eastAsia" w:ascii="仿宋_GB2312" w:hAnsi="仿宋_GB2312" w:eastAsia="仿宋_GB2312" w:cs="仿宋_GB2312"/>
          <w:sz w:val="32"/>
          <w:szCs w:val="32"/>
        </w:rPr>
        <w:t>。</w:t>
      </w:r>
    </w:p>
    <w:p>
      <w:pPr>
        <w:pageBreakBefore w:val="0"/>
        <w:kinsoku/>
        <w:wordWrap/>
        <w:overflowPunct/>
        <w:topLinePunct w:val="0"/>
        <w:autoSpaceDE/>
        <w:autoSpaceDN/>
        <w:bidi w:val="0"/>
        <w:spacing w:line="600" w:lineRule="exact"/>
        <w:ind w:firstLine="643" w:firstLineChars="200"/>
        <w:textAlignment w:val="auto"/>
        <w:rPr>
          <w:rFonts w:eastAsia="楷体_GB2312"/>
          <w:b/>
          <w:sz w:val="32"/>
          <w:szCs w:val="32"/>
        </w:rPr>
      </w:pPr>
      <w:r>
        <w:rPr>
          <w:rFonts w:hint="eastAsia" w:eastAsia="楷体_GB2312"/>
          <w:b/>
          <w:sz w:val="32"/>
          <w:szCs w:val="32"/>
        </w:rPr>
        <w:t>（二）机构职能</w:t>
      </w:r>
    </w:p>
    <w:p>
      <w:pPr>
        <w:pStyle w:val="4"/>
        <w:pageBreakBefore w:val="0"/>
        <w:kinsoku/>
        <w:wordWrap/>
        <w:overflowPunct/>
        <w:topLinePunct w:val="0"/>
        <w:autoSpaceDE/>
        <w:autoSpaceDN/>
        <w:bidi w:val="0"/>
        <w:spacing w:before="0" w:after="0" w:line="600" w:lineRule="exact"/>
        <w:ind w:firstLine="640" w:firstLineChars="200"/>
        <w:textAlignment w:val="auto"/>
        <w:rPr>
          <w:rFonts w:hint="eastAsia" w:ascii="仿宋_GB2312" w:hAnsi="仿宋_GB2312" w:eastAsia="仿宋_GB2312" w:cs="仿宋_GB2312"/>
        </w:rPr>
      </w:pPr>
      <w:bookmarkStart w:id="53" w:name="_Toc1484"/>
      <w:bookmarkStart w:id="54" w:name="_Toc22314"/>
      <w:bookmarkStart w:id="55" w:name="_Toc30839"/>
      <w:bookmarkStart w:id="56" w:name="_Toc2511"/>
      <w:bookmarkStart w:id="57" w:name="_Toc26792"/>
      <w:r>
        <w:rPr>
          <w:rFonts w:hint="eastAsia" w:ascii="仿宋_GB2312" w:hAnsi="仿宋_GB2312" w:eastAsia="仿宋_GB2312" w:cs="仿宋_GB2312"/>
          <w:b w:val="0"/>
          <w:bCs w:val="0"/>
        </w:rPr>
        <w:t>承担管理维护市城区照明智能集中控制系统总控制室等集中管控工作，以及市住房城乡建设相关技术性、事务性、辅助性工作。</w:t>
      </w:r>
      <w:bookmarkEnd w:id="53"/>
      <w:bookmarkEnd w:id="54"/>
      <w:bookmarkEnd w:id="55"/>
      <w:bookmarkEnd w:id="56"/>
      <w:bookmarkEnd w:id="57"/>
    </w:p>
    <w:p>
      <w:pPr>
        <w:pageBreakBefore w:val="0"/>
        <w:kinsoku/>
        <w:wordWrap/>
        <w:overflowPunct/>
        <w:topLinePunct w:val="0"/>
        <w:autoSpaceDE/>
        <w:autoSpaceDN/>
        <w:bidi w:val="0"/>
        <w:spacing w:line="600" w:lineRule="exact"/>
        <w:ind w:firstLine="643" w:firstLineChars="200"/>
        <w:textAlignment w:val="auto"/>
        <w:rPr>
          <w:rFonts w:eastAsia="楷体_GB2312"/>
          <w:b/>
          <w:sz w:val="32"/>
          <w:szCs w:val="32"/>
        </w:rPr>
      </w:pPr>
      <w:r>
        <w:rPr>
          <w:rFonts w:hint="eastAsia" w:eastAsia="楷体_GB2312"/>
          <w:b/>
          <w:sz w:val="32"/>
          <w:szCs w:val="32"/>
        </w:rPr>
        <w:t>（三）人员概况</w:t>
      </w:r>
    </w:p>
    <w:p>
      <w:pPr>
        <w:pageBreakBefore w:val="0"/>
        <w:kinsoku/>
        <w:wordWrap/>
        <w:overflowPunct/>
        <w:topLinePunct w:val="0"/>
        <w:autoSpaceDE/>
        <w:autoSpaceDN/>
        <w:bidi w:val="0"/>
        <w:snapToGrid w:val="0"/>
        <w:spacing w:line="600" w:lineRule="exact"/>
        <w:ind w:firstLine="630"/>
        <w:textAlignment w:val="auto"/>
        <w:rPr>
          <w:rFonts w:hint="eastAsia" w:ascii="仿宋_GB2312" w:hAnsi="仿宋" w:eastAsia="仿宋_GB2312"/>
          <w:sz w:val="32"/>
          <w:szCs w:val="32"/>
        </w:rPr>
      </w:pPr>
      <w:r>
        <w:rPr>
          <w:rFonts w:hint="eastAsia" w:ascii="仿宋_GB2312" w:hAnsi="仿宋" w:eastAsia="仿宋_GB2312"/>
          <w:sz w:val="32"/>
          <w:szCs w:val="32"/>
        </w:rPr>
        <w:t>本单位截止20</w:t>
      </w:r>
      <w:r>
        <w:rPr>
          <w:rFonts w:ascii="仿宋_GB2312" w:hAnsi="仿宋" w:eastAsia="仿宋_GB2312"/>
          <w:sz w:val="32"/>
          <w:szCs w:val="32"/>
        </w:rPr>
        <w:t>2</w:t>
      </w:r>
      <w:r>
        <w:rPr>
          <w:rFonts w:hint="eastAsia" w:ascii="仿宋_GB2312" w:hAnsi="仿宋" w:eastAsia="仿宋_GB2312"/>
          <w:sz w:val="32"/>
          <w:szCs w:val="32"/>
          <w:lang w:val="en-US" w:eastAsia="zh-CN"/>
        </w:rPr>
        <w:t>1</w:t>
      </w:r>
      <w:r>
        <w:rPr>
          <w:rFonts w:hint="eastAsia" w:ascii="仿宋_GB2312" w:hAnsi="仿宋" w:eastAsia="仿宋_GB2312"/>
          <w:sz w:val="32"/>
          <w:szCs w:val="32"/>
        </w:rPr>
        <w:t>年12月31日编制人数</w:t>
      </w:r>
      <w:r>
        <w:rPr>
          <w:rFonts w:ascii="仿宋_GB2312" w:hAnsi="仿宋" w:eastAsia="仿宋_GB2312"/>
          <w:sz w:val="32"/>
          <w:szCs w:val="32"/>
        </w:rPr>
        <w:t>14</w:t>
      </w:r>
      <w:r>
        <w:rPr>
          <w:rFonts w:hint="eastAsia" w:ascii="仿宋_GB2312" w:hAnsi="仿宋" w:eastAsia="仿宋_GB2312"/>
          <w:sz w:val="32"/>
          <w:szCs w:val="32"/>
        </w:rPr>
        <w:t>人，实有人数</w:t>
      </w:r>
      <w:r>
        <w:rPr>
          <w:rFonts w:hint="eastAsia" w:ascii="仿宋_GB2312" w:hAnsi="仿宋" w:eastAsia="仿宋_GB2312"/>
          <w:sz w:val="32"/>
          <w:szCs w:val="32"/>
          <w:lang w:val="en-US" w:eastAsia="zh-CN"/>
        </w:rPr>
        <w:t>9</w:t>
      </w:r>
      <w:r>
        <w:rPr>
          <w:rFonts w:hint="eastAsia" w:ascii="仿宋_GB2312" w:hAnsi="仿宋" w:eastAsia="仿宋_GB2312"/>
          <w:sz w:val="32"/>
          <w:szCs w:val="32"/>
        </w:rPr>
        <w:t>人，退休人员</w:t>
      </w:r>
      <w:r>
        <w:rPr>
          <w:rFonts w:ascii="仿宋_GB2312" w:hAnsi="仿宋" w:eastAsia="仿宋_GB2312"/>
          <w:sz w:val="32"/>
          <w:szCs w:val="32"/>
        </w:rPr>
        <w:t>5</w:t>
      </w:r>
      <w:r>
        <w:rPr>
          <w:rFonts w:hint="eastAsia" w:ascii="仿宋_GB2312" w:hAnsi="仿宋" w:eastAsia="仿宋_GB2312"/>
          <w:sz w:val="32"/>
          <w:szCs w:val="32"/>
          <w:lang w:val="en-US" w:eastAsia="zh-CN"/>
        </w:rPr>
        <w:t>7</w:t>
      </w:r>
      <w:r>
        <w:rPr>
          <w:rFonts w:hint="eastAsia" w:ascii="仿宋_GB2312" w:hAnsi="仿宋" w:eastAsia="仿宋_GB2312"/>
          <w:sz w:val="32"/>
          <w:szCs w:val="32"/>
        </w:rPr>
        <w:t>人。</w:t>
      </w:r>
    </w:p>
    <w:p>
      <w:pPr>
        <w:pageBreakBefore w:val="0"/>
        <w:kinsoku/>
        <w:wordWrap/>
        <w:overflowPunct/>
        <w:topLinePunct w:val="0"/>
        <w:autoSpaceDE/>
        <w:autoSpaceDN/>
        <w:bidi w:val="0"/>
        <w:spacing w:line="600" w:lineRule="exact"/>
        <w:ind w:firstLine="640" w:firstLineChars="200"/>
        <w:textAlignment w:val="auto"/>
        <w:rPr>
          <w:rFonts w:eastAsia="Times New Roman"/>
          <w:sz w:val="32"/>
          <w:szCs w:val="32"/>
        </w:rPr>
      </w:pPr>
      <w:r>
        <w:rPr>
          <w:rFonts w:hint="eastAsia" w:eastAsia="黑体"/>
          <w:sz w:val="32"/>
          <w:szCs w:val="32"/>
        </w:rPr>
        <w:t>二、部门财政资金收支情况</w:t>
      </w:r>
    </w:p>
    <w:p>
      <w:pPr>
        <w:pageBreakBefore w:val="0"/>
        <w:kinsoku/>
        <w:wordWrap/>
        <w:overflowPunct/>
        <w:topLinePunct w:val="0"/>
        <w:autoSpaceDE/>
        <w:autoSpaceDN/>
        <w:bidi w:val="0"/>
        <w:spacing w:line="600" w:lineRule="exact"/>
        <w:ind w:firstLine="643" w:firstLineChars="200"/>
        <w:textAlignment w:val="auto"/>
        <w:rPr>
          <w:rFonts w:hint="eastAsia" w:eastAsia="楷体_GB2312"/>
          <w:b/>
          <w:sz w:val="32"/>
          <w:szCs w:val="32"/>
        </w:rPr>
      </w:pPr>
      <w:r>
        <w:rPr>
          <w:rFonts w:hint="eastAsia" w:eastAsia="楷体_GB2312"/>
          <w:b/>
          <w:sz w:val="32"/>
          <w:szCs w:val="32"/>
        </w:rPr>
        <w:t>（一）部门财政资金收入情况。</w:t>
      </w:r>
    </w:p>
    <w:p>
      <w:pPr>
        <w:pageBreakBefore w:val="0"/>
        <w:widowControl/>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年，本单位财政拨款收入</w:t>
      </w:r>
      <w:r>
        <w:rPr>
          <w:rFonts w:hint="eastAsia" w:ascii="仿宋_GB2312" w:hAnsi="仿宋_GB2312" w:eastAsia="仿宋_GB2312" w:cs="仿宋_GB2312"/>
          <w:sz w:val="32"/>
          <w:szCs w:val="32"/>
          <w:lang w:val="en-US" w:eastAsia="zh-CN"/>
        </w:rPr>
        <w:t>251.55</w:t>
      </w:r>
      <w:r>
        <w:rPr>
          <w:rFonts w:hint="eastAsia" w:ascii="仿宋_GB2312" w:hAnsi="仿宋_GB2312" w:eastAsia="仿宋_GB2312" w:cs="仿宋_GB2312"/>
          <w:sz w:val="32"/>
          <w:szCs w:val="32"/>
        </w:rPr>
        <w:t>万元。</w:t>
      </w:r>
    </w:p>
    <w:p>
      <w:pPr>
        <w:pageBreakBefore w:val="0"/>
        <w:kinsoku/>
        <w:wordWrap/>
        <w:overflowPunct/>
        <w:topLinePunct w:val="0"/>
        <w:autoSpaceDE/>
        <w:autoSpaceDN/>
        <w:bidi w:val="0"/>
        <w:spacing w:line="600" w:lineRule="exact"/>
        <w:ind w:firstLine="321" w:firstLineChars="100"/>
        <w:textAlignment w:val="auto"/>
        <w:rPr>
          <w:rFonts w:hint="eastAsia" w:eastAsia="楷体_GB2312"/>
          <w:b/>
          <w:sz w:val="32"/>
          <w:szCs w:val="32"/>
        </w:rPr>
      </w:pPr>
      <w:r>
        <w:rPr>
          <w:rFonts w:hint="eastAsia" w:eastAsia="楷体_GB2312"/>
          <w:b/>
          <w:sz w:val="32"/>
          <w:szCs w:val="32"/>
        </w:rPr>
        <w:t>（二）部门财政资金支出情况。</w:t>
      </w:r>
    </w:p>
    <w:p>
      <w:pPr>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年，本单位财政拨款支出</w:t>
      </w:r>
      <w:r>
        <w:rPr>
          <w:rFonts w:hint="eastAsia" w:ascii="仿宋_GB2312" w:hAnsi="仿宋_GB2312" w:eastAsia="仿宋_GB2312" w:cs="仿宋_GB2312"/>
          <w:sz w:val="32"/>
          <w:szCs w:val="32"/>
          <w:lang w:val="en-US" w:eastAsia="zh-CN"/>
        </w:rPr>
        <w:t>251.55</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lang w:val="en-US" w:eastAsia="zh-CN"/>
        </w:rPr>
        <w:t>基本支出205.03万元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项目支出46.52万元</w:t>
      </w:r>
      <w:r>
        <w:rPr>
          <w:rFonts w:hint="eastAsia" w:ascii="仿宋_GB2312" w:hAnsi="仿宋_GB2312" w:eastAsia="仿宋_GB2312" w:cs="仿宋_GB2312"/>
          <w:sz w:val="32"/>
          <w:szCs w:val="32"/>
        </w:rPr>
        <w:t>。主要用于保障事务中心正常运转、完成日常工作任务以及承担管理维护市城区照明智能集中控制系统总控制室等集中管控工作，市住房城乡建设相关技术性、事务性、辅助性工作。</w:t>
      </w:r>
    </w:p>
    <w:p>
      <w:pPr>
        <w:pageBreakBefore w:val="0"/>
        <w:kinsoku/>
        <w:wordWrap/>
        <w:overflowPunct/>
        <w:topLinePunct w:val="0"/>
        <w:autoSpaceDE/>
        <w:autoSpaceDN/>
        <w:bidi w:val="0"/>
        <w:spacing w:line="60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基本支出</w:t>
      </w:r>
      <w:r>
        <w:rPr>
          <w:rFonts w:hint="eastAsia" w:ascii="仿宋_GB2312" w:hAnsi="仿宋_GB2312" w:eastAsia="仿宋_GB2312" w:cs="仿宋_GB2312"/>
          <w:sz w:val="32"/>
          <w:szCs w:val="32"/>
          <w:lang w:val="en-US" w:eastAsia="zh-CN"/>
        </w:rPr>
        <w:t>205.03</w:t>
      </w:r>
      <w:r>
        <w:rPr>
          <w:rFonts w:hint="eastAsia" w:ascii="仿宋_GB2312" w:hAnsi="仿宋_GB2312" w:eastAsia="仿宋_GB2312" w:cs="仿宋_GB2312"/>
          <w:sz w:val="32"/>
          <w:szCs w:val="32"/>
        </w:rPr>
        <w:t>万元，占总支出的</w:t>
      </w:r>
      <w:r>
        <w:rPr>
          <w:rFonts w:hint="eastAsia" w:ascii="仿宋_GB2312" w:hAnsi="仿宋_GB2312" w:eastAsia="仿宋_GB2312" w:cs="仿宋_GB2312"/>
          <w:sz w:val="32"/>
          <w:szCs w:val="32"/>
          <w:lang w:val="en-US" w:eastAsia="zh-CN"/>
        </w:rPr>
        <w:t>81.51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，用于保障事务中心正常运转的日常支出，包括基本工资、津贴补贴等人员经费以及办公费、水电费、差旅费等日常公用经费。</w:t>
      </w:r>
    </w:p>
    <w:p>
      <w:pPr>
        <w:pageBreakBefore w:val="0"/>
        <w:kinsoku/>
        <w:wordWrap/>
        <w:overflowPunct/>
        <w:topLinePunct w:val="0"/>
        <w:autoSpaceDE/>
        <w:autoSpaceDN/>
        <w:bidi w:val="0"/>
        <w:spacing w:line="6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46.52</w:t>
      </w:r>
      <w:r>
        <w:rPr>
          <w:rFonts w:hint="eastAsia" w:ascii="仿宋_GB2312" w:hAnsi="仿宋_GB2312" w:eastAsia="仿宋_GB2312" w:cs="仿宋_GB2312"/>
          <w:sz w:val="32"/>
          <w:szCs w:val="32"/>
        </w:rPr>
        <w:t>万元，占总支出的</w:t>
      </w:r>
      <w:r>
        <w:rPr>
          <w:rFonts w:hint="eastAsia" w:ascii="仿宋_GB2312" w:hAnsi="仿宋_GB2312" w:eastAsia="仿宋_GB2312" w:cs="仿宋_GB2312"/>
          <w:sz w:val="32"/>
          <w:szCs w:val="32"/>
          <w:lang w:val="en-US" w:eastAsia="zh-CN"/>
        </w:rPr>
        <w:t>18.49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，主要用于市城区环境整治亮化工程运行电费，保障亮化工程运行维护</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事务中心日常维修维护费</w:t>
      </w:r>
      <w:r>
        <w:rPr>
          <w:rFonts w:hint="eastAsia" w:ascii="仿宋_GB2312" w:hAnsi="仿宋_GB2312" w:eastAsia="仿宋_GB2312" w:cs="仿宋_GB2312"/>
          <w:sz w:val="32"/>
          <w:szCs w:val="32"/>
          <w:lang w:val="en-US" w:eastAsia="zh-CN"/>
        </w:rPr>
        <w:t>等工作</w:t>
      </w:r>
      <w:r>
        <w:rPr>
          <w:rFonts w:hint="eastAsia" w:ascii="仿宋_GB2312" w:hAnsi="仿宋_GB2312" w:eastAsia="仿宋_GB2312" w:cs="仿宋_GB2312"/>
          <w:sz w:val="32"/>
          <w:szCs w:val="32"/>
        </w:rPr>
        <w:t>。</w:t>
      </w:r>
    </w:p>
    <w:p>
      <w:pPr>
        <w:pageBreakBefore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eastAsia="黑体"/>
          <w:bCs/>
          <w:kern w:val="0"/>
          <w:sz w:val="32"/>
          <w:szCs w:val="32"/>
          <w:shd w:val="clear" w:color="auto" w:fill="FFFFFF"/>
        </w:rPr>
      </w:pPr>
      <w:r>
        <w:rPr>
          <w:rFonts w:hint="eastAsia" w:eastAsia="黑体"/>
          <w:bCs/>
          <w:kern w:val="0"/>
          <w:sz w:val="32"/>
          <w:szCs w:val="32"/>
          <w:shd w:val="clear" w:color="auto" w:fill="FFFFFF"/>
        </w:rPr>
        <w:t>三、部门整体预算绩效管理情况</w:t>
      </w:r>
    </w:p>
    <w:p>
      <w:pPr>
        <w:pageBreakBefore w:val="0"/>
        <w:kinsoku/>
        <w:wordWrap/>
        <w:overflowPunct/>
        <w:topLinePunct w:val="0"/>
        <w:autoSpaceDE/>
        <w:autoSpaceDN/>
        <w:bidi w:val="0"/>
        <w:adjustRightInd w:val="0"/>
        <w:snapToGrid w:val="0"/>
        <w:spacing w:line="600" w:lineRule="exact"/>
        <w:ind w:firstLine="643" w:firstLineChars="200"/>
        <w:contextualSpacing/>
        <w:jc w:val="left"/>
        <w:textAlignment w:val="auto"/>
        <w:rPr>
          <w:rFonts w:eastAsia="楷体_GB2312"/>
          <w:b/>
          <w:sz w:val="32"/>
          <w:szCs w:val="32"/>
        </w:rPr>
      </w:pPr>
      <w:r>
        <w:rPr>
          <w:rFonts w:hint="eastAsia" w:eastAsia="楷体_GB2312"/>
          <w:b/>
          <w:sz w:val="32"/>
          <w:szCs w:val="32"/>
        </w:rPr>
        <w:t>（一）部门预算管理</w:t>
      </w:r>
    </w:p>
    <w:p>
      <w:pPr>
        <w:pageBreakBefore w:val="0"/>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eastAsia="仿宋_GB2312" w:cs="宋体"/>
          <w:sz w:val="32"/>
          <w:szCs w:val="32"/>
          <w:shd w:val="clear" w:color="auto" w:fill="FFFFFF"/>
        </w:rPr>
      </w:pPr>
      <w:r>
        <w:rPr>
          <w:rFonts w:eastAsia="仿宋_GB2312"/>
          <w:b/>
          <w:sz w:val="32"/>
          <w:szCs w:val="32"/>
        </w:rPr>
        <w:t>1.</w:t>
      </w:r>
      <w:r>
        <w:rPr>
          <w:rFonts w:hint="eastAsia" w:eastAsia="仿宋_GB2312" w:cs="宋体"/>
          <w:b/>
          <w:sz w:val="32"/>
          <w:szCs w:val="32"/>
        </w:rPr>
        <w:t>预算编制情况：</w:t>
      </w:r>
      <w:r>
        <w:rPr>
          <w:rFonts w:hint="eastAsia" w:eastAsia="仿宋_GB2312" w:cs="宋体"/>
          <w:sz w:val="32"/>
          <w:szCs w:val="32"/>
          <w:shd w:val="clear" w:color="auto" w:fill="FFFFFF"/>
        </w:rPr>
        <w:t>我中心</w:t>
      </w:r>
      <w:r>
        <w:rPr>
          <w:rFonts w:eastAsia="仿宋_GB2312"/>
          <w:sz w:val="32"/>
          <w:szCs w:val="32"/>
          <w:shd w:val="clear" w:color="auto" w:fill="FFFFFF"/>
        </w:rPr>
        <w:t>202</w:t>
      </w:r>
      <w:r>
        <w:rPr>
          <w:rFonts w:hint="eastAsia" w:eastAsia="仿宋_GB2312"/>
          <w:sz w:val="32"/>
          <w:szCs w:val="32"/>
          <w:shd w:val="clear" w:color="auto" w:fill="FFFFFF"/>
          <w:lang w:val="en-US" w:eastAsia="zh-CN"/>
        </w:rPr>
        <w:t>1</w:t>
      </w:r>
      <w:r>
        <w:rPr>
          <w:rFonts w:hint="eastAsia" w:eastAsia="仿宋_GB2312" w:cs="宋体"/>
          <w:sz w:val="32"/>
          <w:szCs w:val="32"/>
          <w:shd w:val="clear" w:color="auto" w:fill="FFFFFF"/>
        </w:rPr>
        <w:t>年预算编制严格按照市财政部门预算编制口径及有关要求，依据事务中心职能职责和年度工作任务测算，按时完成了预算基础数据库、项目库、预算草案的报审工作。在规定时间内，保质保量地完成了项目资金绩效目标的编报工作。预算编制程序严密，由综合科汇总各科室项目需求，上报中心支委会通过后，编制部门预算草案报主管部门遂宁市住房和城乡建设局党组会审议，审议通过后报市财政局，审核通过情况良好</w:t>
      </w:r>
      <w:r>
        <w:rPr>
          <w:rFonts w:hint="eastAsia" w:eastAsia="仿宋_GB2312" w:cs="宋体"/>
          <w:sz w:val="32"/>
          <w:szCs w:val="32"/>
          <w:shd w:val="clear" w:color="auto" w:fill="FFFFFF"/>
          <w:lang w:eastAsia="zh-CN"/>
        </w:rPr>
        <w:t>，</w:t>
      </w:r>
      <w:r>
        <w:rPr>
          <w:rFonts w:hint="eastAsia" w:eastAsia="仿宋_GB2312" w:cs="宋体"/>
          <w:sz w:val="32"/>
          <w:szCs w:val="32"/>
          <w:shd w:val="clear" w:color="auto" w:fill="FFFFFF"/>
        </w:rPr>
        <w:t>202</w:t>
      </w:r>
      <w:r>
        <w:rPr>
          <w:rFonts w:hint="eastAsia" w:eastAsia="仿宋_GB2312" w:cs="宋体"/>
          <w:sz w:val="32"/>
          <w:szCs w:val="32"/>
          <w:shd w:val="clear" w:color="auto" w:fill="FFFFFF"/>
          <w:lang w:val="en-US" w:eastAsia="zh-CN"/>
        </w:rPr>
        <w:t>1</w:t>
      </w:r>
      <w:r>
        <w:rPr>
          <w:rFonts w:hint="eastAsia" w:eastAsia="仿宋_GB2312" w:cs="宋体"/>
          <w:sz w:val="32"/>
          <w:szCs w:val="32"/>
          <w:shd w:val="clear" w:color="auto" w:fill="FFFFFF"/>
        </w:rPr>
        <w:t>年当年编制绩效目标项目共</w:t>
      </w:r>
      <w:r>
        <w:rPr>
          <w:rFonts w:hint="eastAsia" w:eastAsia="仿宋_GB2312" w:cs="宋体"/>
          <w:sz w:val="32"/>
          <w:szCs w:val="32"/>
          <w:shd w:val="clear" w:color="auto" w:fill="FFFFFF"/>
          <w:lang w:val="en-US" w:eastAsia="zh-CN"/>
        </w:rPr>
        <w:t>4</w:t>
      </w:r>
      <w:r>
        <w:rPr>
          <w:rFonts w:hint="eastAsia" w:eastAsia="仿宋_GB2312" w:cs="宋体"/>
          <w:sz w:val="32"/>
          <w:szCs w:val="32"/>
          <w:shd w:val="clear" w:color="auto" w:fill="FFFFFF"/>
        </w:rPr>
        <w:t>个，其中涉及数量指标</w:t>
      </w:r>
      <w:r>
        <w:rPr>
          <w:rFonts w:hint="eastAsia" w:eastAsia="仿宋_GB2312" w:cs="宋体"/>
          <w:sz w:val="32"/>
          <w:szCs w:val="32"/>
          <w:shd w:val="clear" w:color="auto" w:fill="FFFFFF"/>
          <w:lang w:val="en-US" w:eastAsia="zh-CN"/>
        </w:rPr>
        <w:t>18</w:t>
      </w:r>
      <w:r>
        <w:rPr>
          <w:rFonts w:hint="eastAsia" w:eastAsia="仿宋_GB2312" w:cs="宋体"/>
          <w:sz w:val="32"/>
          <w:szCs w:val="32"/>
          <w:shd w:val="clear" w:color="auto" w:fill="FFFFFF"/>
        </w:rPr>
        <w:t>个，完成数量指标</w:t>
      </w:r>
      <w:r>
        <w:rPr>
          <w:rFonts w:hint="eastAsia" w:eastAsia="仿宋_GB2312" w:cs="宋体"/>
          <w:sz w:val="32"/>
          <w:szCs w:val="32"/>
          <w:shd w:val="clear" w:color="auto" w:fill="FFFFFF"/>
          <w:lang w:val="en-US" w:eastAsia="zh-CN"/>
        </w:rPr>
        <w:t>14</w:t>
      </w:r>
      <w:r>
        <w:rPr>
          <w:rFonts w:hint="eastAsia" w:eastAsia="仿宋_GB2312" w:cs="宋体"/>
          <w:sz w:val="32"/>
          <w:szCs w:val="32"/>
          <w:shd w:val="clear" w:color="auto" w:fill="FFFFFF"/>
        </w:rPr>
        <w:t>个。</w:t>
      </w:r>
    </w:p>
    <w:p>
      <w:pPr>
        <w:pageBreakBefore w:val="0"/>
        <w:kinsoku/>
        <w:wordWrap/>
        <w:overflowPunct/>
        <w:topLinePunct w:val="0"/>
        <w:autoSpaceDE/>
        <w:autoSpaceDN/>
        <w:bidi w:val="0"/>
        <w:spacing w:line="600" w:lineRule="exact"/>
        <w:ind w:firstLine="643" w:firstLineChars="200"/>
        <w:textAlignment w:val="auto"/>
        <w:rPr>
          <w:rFonts w:hint="eastAsia"/>
        </w:rPr>
      </w:pPr>
      <w:r>
        <w:rPr>
          <w:rFonts w:eastAsia="仿宋_GB2312"/>
          <w:b/>
          <w:bCs/>
          <w:sz w:val="32"/>
          <w:szCs w:val="32"/>
          <w:shd w:val="clear" w:color="auto" w:fill="FFFFFF"/>
        </w:rPr>
        <w:t>2.</w:t>
      </w:r>
      <w:r>
        <w:rPr>
          <w:rFonts w:hint="eastAsia" w:eastAsia="仿宋_GB2312" w:cs="宋体"/>
          <w:b/>
          <w:bCs/>
          <w:sz w:val="32"/>
          <w:szCs w:val="32"/>
          <w:shd w:val="clear" w:color="auto" w:fill="FFFFFF"/>
        </w:rPr>
        <w:t>预算执行情况。</w:t>
      </w:r>
      <w:r>
        <w:rPr>
          <w:rFonts w:hint="eastAsia" w:eastAsia="仿宋_GB2312" w:cs="宋体"/>
          <w:sz w:val="32"/>
          <w:szCs w:val="32"/>
          <w:shd w:val="clear" w:color="auto" w:fill="FFFFFF"/>
        </w:rPr>
        <w:t>我中心</w:t>
      </w:r>
      <w:r>
        <w:rPr>
          <w:rFonts w:eastAsia="仿宋_GB2312"/>
          <w:sz w:val="32"/>
          <w:szCs w:val="32"/>
          <w:shd w:val="clear" w:color="auto" w:fill="FFFFFF"/>
        </w:rPr>
        <w:t>202</w:t>
      </w:r>
      <w:r>
        <w:rPr>
          <w:rFonts w:hint="eastAsia" w:eastAsia="仿宋_GB2312"/>
          <w:sz w:val="32"/>
          <w:szCs w:val="32"/>
          <w:shd w:val="clear" w:color="auto" w:fill="FFFFFF"/>
          <w:lang w:val="en-US" w:eastAsia="zh-CN"/>
        </w:rPr>
        <w:t>1</w:t>
      </w:r>
      <w:r>
        <w:rPr>
          <w:rFonts w:hint="eastAsia" w:eastAsia="仿宋_GB2312" w:cs="宋体"/>
          <w:sz w:val="32"/>
          <w:szCs w:val="32"/>
          <w:shd w:val="clear" w:color="auto" w:fill="FFFFFF"/>
        </w:rPr>
        <w:t>年按要求严格执行预算管理，督促中心各科室在合规使用资金的前提下加快预算执行。我中心按规定开展了绩效评价工作，及时向相关部门报告了预算执行情况。</w:t>
      </w:r>
      <w:r>
        <w:rPr>
          <w:rFonts w:hint="eastAsia" w:eastAsia="仿宋_GB2312" w:cs="宋体"/>
          <w:sz w:val="32"/>
          <w:szCs w:val="32"/>
          <w:shd w:val="clear" w:color="auto" w:fill="FFFFFF"/>
          <w:lang w:val="en-US" w:eastAsia="zh-CN"/>
        </w:rPr>
        <w:t>2021年度</w:t>
      </w:r>
      <w:r>
        <w:rPr>
          <w:rFonts w:ascii="Times New Roman" w:hAnsi="Times New Roman" w:eastAsia="仿宋_GB2312"/>
          <w:sz w:val="32"/>
          <w:szCs w:val="32"/>
        </w:rPr>
        <w:t>6</w:t>
      </w:r>
      <w:r>
        <w:rPr>
          <w:rFonts w:hint="eastAsia" w:ascii="Times New Roman" w:hAnsi="Times New Roman" w:eastAsia="仿宋_GB2312"/>
          <w:sz w:val="32"/>
          <w:szCs w:val="32"/>
        </w:rPr>
        <w:t>月、</w:t>
      </w:r>
      <w:r>
        <w:rPr>
          <w:rFonts w:ascii="Times New Roman" w:hAnsi="Times New Roman" w:eastAsia="仿宋_GB2312"/>
          <w:sz w:val="32"/>
          <w:szCs w:val="32"/>
        </w:rPr>
        <w:t>9</w:t>
      </w:r>
      <w:r>
        <w:rPr>
          <w:rFonts w:hint="eastAsia" w:ascii="Times New Roman" w:hAnsi="Times New Roman" w:eastAsia="仿宋_GB2312"/>
          <w:sz w:val="32"/>
          <w:szCs w:val="32"/>
        </w:rPr>
        <w:t>月、</w:t>
      </w:r>
      <w:r>
        <w:rPr>
          <w:rFonts w:ascii="Times New Roman" w:hAnsi="Times New Roman" w:eastAsia="仿宋_GB2312"/>
          <w:sz w:val="32"/>
          <w:szCs w:val="32"/>
        </w:rPr>
        <w:t>11</w:t>
      </w:r>
      <w:r>
        <w:rPr>
          <w:rFonts w:hint="eastAsia" w:ascii="Times New Roman" w:hAnsi="Times New Roman" w:eastAsia="仿宋_GB2312"/>
          <w:sz w:val="32"/>
          <w:szCs w:val="32"/>
        </w:rPr>
        <w:t>月的预算执行进度分别为</w:t>
      </w:r>
      <w:r>
        <w:rPr>
          <w:rFonts w:hint="eastAsia" w:ascii="Times New Roman" w:hAnsi="Times New Roman" w:eastAsia="仿宋_GB2312"/>
          <w:sz w:val="32"/>
          <w:szCs w:val="32"/>
          <w:lang w:val="en-US" w:eastAsia="zh-CN"/>
        </w:rPr>
        <w:t>39.22</w:t>
      </w:r>
      <w:r>
        <w:rPr>
          <w:rFonts w:ascii="Times New Roman" w:hAnsi="Times New Roman" w:eastAsia="仿宋_GB2312"/>
          <w:sz w:val="32"/>
          <w:szCs w:val="32"/>
        </w:rPr>
        <w:t>%</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63.65</w:t>
      </w:r>
      <w:r>
        <w:rPr>
          <w:rFonts w:ascii="Times New Roman" w:hAnsi="Times New Roman" w:eastAsia="仿宋_GB2312"/>
          <w:sz w:val="32"/>
          <w:szCs w:val="32"/>
        </w:rPr>
        <w:t>%</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75.39</w:t>
      </w:r>
      <w:r>
        <w:rPr>
          <w:rFonts w:ascii="Times New Roman" w:hAnsi="Times New Roman" w:eastAsia="仿宋_GB2312"/>
          <w:sz w:val="32"/>
          <w:szCs w:val="32"/>
        </w:rPr>
        <w:t>%</w:t>
      </w:r>
      <w:r>
        <w:rPr>
          <w:rFonts w:hint="eastAsia" w:ascii="Times New Roman" w:hAnsi="Times New Roman" w:eastAsia="仿宋_GB2312"/>
          <w:sz w:val="32"/>
          <w:szCs w:val="32"/>
        </w:rPr>
        <w:t>。</w:t>
      </w:r>
    </w:p>
    <w:p>
      <w:pPr>
        <w:pageBreakBefore w:val="0"/>
        <w:kinsoku/>
        <w:wordWrap/>
        <w:overflowPunct/>
        <w:topLinePunct w:val="0"/>
        <w:autoSpaceDE/>
        <w:autoSpaceDN/>
        <w:bidi w:val="0"/>
        <w:spacing w:line="600" w:lineRule="exact"/>
        <w:ind w:firstLine="640" w:firstLineChars="200"/>
        <w:textAlignment w:val="auto"/>
        <w:rPr>
          <w:rFonts w:hint="eastAsia" w:eastAsia="仿宋_GB2312" w:cs="宋体"/>
          <w:sz w:val="32"/>
          <w:szCs w:val="32"/>
          <w:shd w:val="clear" w:color="auto" w:fill="FFFFFF"/>
        </w:rPr>
      </w:pPr>
      <w:r>
        <w:rPr>
          <w:rFonts w:ascii="Times New Roman" w:hAnsi="Times New Roman" w:eastAsia="仿宋_GB2312"/>
          <w:sz w:val="32"/>
          <w:szCs w:val="32"/>
        </w:rPr>
        <w:t>202</w:t>
      </w:r>
      <w:r>
        <w:rPr>
          <w:rFonts w:hint="eastAsia" w:eastAsia="仿宋_GB2312"/>
          <w:sz w:val="32"/>
          <w:szCs w:val="32"/>
          <w:lang w:val="en-US" w:eastAsia="zh-CN"/>
        </w:rPr>
        <w:t>1</w:t>
      </w:r>
      <w:r>
        <w:rPr>
          <w:rFonts w:hint="eastAsia" w:ascii="Times New Roman" w:hAnsi="Times New Roman" w:eastAsia="仿宋_GB2312"/>
          <w:sz w:val="32"/>
          <w:szCs w:val="32"/>
        </w:rPr>
        <w:t>年，我</w:t>
      </w:r>
      <w:r>
        <w:rPr>
          <w:rFonts w:hint="eastAsia" w:eastAsia="仿宋_GB2312"/>
          <w:sz w:val="32"/>
          <w:szCs w:val="32"/>
          <w:lang w:val="en-US" w:eastAsia="zh-CN"/>
        </w:rPr>
        <w:t>中心</w:t>
      </w:r>
      <w:r>
        <w:rPr>
          <w:rFonts w:hint="eastAsia" w:ascii="Times New Roman" w:hAnsi="Times New Roman" w:eastAsia="仿宋_GB2312"/>
          <w:sz w:val="32"/>
          <w:szCs w:val="32"/>
        </w:rPr>
        <w:t>加强了部门公用经费及非定额公用的支出控制，部门日常公用经费、项目支出中</w:t>
      </w:r>
      <w:r>
        <w:rPr>
          <w:rFonts w:ascii="Times New Roman" w:hAnsi="Times New Roman" w:eastAsia="仿宋_GB2312"/>
          <w:sz w:val="32"/>
          <w:szCs w:val="32"/>
        </w:rPr>
        <w:t>“</w:t>
      </w:r>
      <w:r>
        <w:rPr>
          <w:rFonts w:hint="eastAsia" w:ascii="Times New Roman" w:hAnsi="Times New Roman" w:eastAsia="仿宋_GB2312"/>
          <w:sz w:val="32"/>
          <w:szCs w:val="32"/>
        </w:rPr>
        <w:t>办公费、印刷费、水费、电费、物业管理费</w:t>
      </w:r>
      <w:r>
        <w:rPr>
          <w:rFonts w:ascii="Times New Roman" w:hAnsi="Times New Roman" w:eastAsia="仿宋_GB2312"/>
          <w:sz w:val="32"/>
          <w:szCs w:val="32"/>
        </w:rPr>
        <w:t>”</w:t>
      </w:r>
      <w:r>
        <w:rPr>
          <w:rFonts w:hint="eastAsia" w:ascii="Times New Roman" w:hAnsi="Times New Roman" w:eastAsia="仿宋_GB2312"/>
          <w:sz w:val="32"/>
          <w:szCs w:val="32"/>
        </w:rPr>
        <w:t>等科目年初预算共计</w:t>
      </w:r>
      <w:r>
        <w:rPr>
          <w:rFonts w:hint="eastAsia" w:ascii="Times New Roman" w:hAnsi="Times New Roman" w:eastAsia="仿宋_GB2312"/>
          <w:sz w:val="32"/>
          <w:szCs w:val="32"/>
          <w:lang w:val="en-US" w:eastAsia="zh-CN"/>
        </w:rPr>
        <w:t>63.76</w:t>
      </w:r>
      <w:r>
        <w:rPr>
          <w:rFonts w:hint="eastAsia" w:ascii="Times New Roman" w:hAnsi="Times New Roman" w:eastAsia="仿宋_GB2312"/>
          <w:sz w:val="32"/>
          <w:szCs w:val="32"/>
        </w:rPr>
        <w:t>万元，决算共计</w:t>
      </w:r>
      <w:r>
        <w:rPr>
          <w:rFonts w:hint="eastAsia" w:eastAsia="仿宋_GB2312"/>
          <w:sz w:val="32"/>
          <w:szCs w:val="32"/>
          <w:lang w:val="en-US" w:eastAsia="zh-CN"/>
        </w:rPr>
        <w:t>61.09</w:t>
      </w:r>
      <w:r>
        <w:rPr>
          <w:rFonts w:hint="eastAsia" w:ascii="Times New Roman" w:hAnsi="Times New Roman" w:eastAsia="仿宋_GB2312"/>
          <w:sz w:val="32"/>
          <w:szCs w:val="32"/>
        </w:rPr>
        <w:t>万元。</w:t>
      </w:r>
    </w:p>
    <w:p>
      <w:pPr>
        <w:pageBreakBefore w:val="0"/>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eastAsia="仿宋_GB2312" w:cs="宋体"/>
          <w:sz w:val="32"/>
          <w:szCs w:val="32"/>
          <w:shd w:val="clear" w:color="auto" w:fill="FFFFFF"/>
        </w:rPr>
      </w:pPr>
      <w:r>
        <w:rPr>
          <w:rFonts w:eastAsia="仿宋_GB2312"/>
          <w:b/>
          <w:bCs/>
          <w:sz w:val="32"/>
          <w:szCs w:val="32"/>
          <w:shd w:val="clear" w:color="auto" w:fill="FFFFFF"/>
        </w:rPr>
        <w:t>3.</w:t>
      </w:r>
      <w:r>
        <w:rPr>
          <w:rFonts w:hint="eastAsia" w:eastAsia="仿宋_GB2312" w:cs="宋体"/>
          <w:b/>
          <w:bCs/>
          <w:sz w:val="32"/>
          <w:szCs w:val="32"/>
          <w:shd w:val="clear" w:color="auto" w:fill="FFFFFF"/>
        </w:rPr>
        <w:t>完</w:t>
      </w:r>
      <w:r>
        <w:rPr>
          <w:rFonts w:hint="eastAsia" w:eastAsia="仿宋_GB2312" w:cs="宋体"/>
          <w:b/>
          <w:bCs/>
          <w:sz w:val="32"/>
          <w:szCs w:val="32"/>
        </w:rPr>
        <w:t>成结果情况。</w:t>
      </w:r>
      <w:r>
        <w:rPr>
          <w:rFonts w:eastAsia="仿宋_GB2312"/>
          <w:sz w:val="32"/>
          <w:szCs w:val="32"/>
          <w:shd w:val="clear" w:color="auto" w:fill="FFFFFF"/>
        </w:rPr>
        <w:t>202</w:t>
      </w:r>
      <w:r>
        <w:rPr>
          <w:rFonts w:hint="eastAsia" w:eastAsia="仿宋_GB2312"/>
          <w:sz w:val="32"/>
          <w:szCs w:val="32"/>
          <w:shd w:val="clear" w:color="auto" w:fill="FFFFFF"/>
          <w:lang w:val="en-US" w:eastAsia="zh-CN"/>
        </w:rPr>
        <w:t>1</w:t>
      </w:r>
      <w:r>
        <w:rPr>
          <w:rFonts w:hint="eastAsia" w:eastAsia="仿宋_GB2312" w:cs="宋体"/>
          <w:sz w:val="32"/>
          <w:szCs w:val="32"/>
          <w:shd w:val="clear" w:color="auto" w:fill="FFFFFF"/>
        </w:rPr>
        <w:t>年我中心项目预算执行进度较差，</w:t>
      </w:r>
      <w:r>
        <w:rPr>
          <w:rFonts w:hint="eastAsia" w:eastAsia="仿宋_GB2312" w:cs="宋体"/>
          <w:sz w:val="32"/>
          <w:szCs w:val="32"/>
          <w:shd w:val="clear" w:color="auto" w:fill="FFFFFF"/>
          <w:lang w:val="en-US" w:eastAsia="zh-CN"/>
        </w:rPr>
        <w:t xml:space="preserve">  市城区环境整治亮化工程运行电费资金使用执行率24.90%，事务中心日常维修维护管理费资金使用执行率52%</w:t>
      </w:r>
      <w:r>
        <w:rPr>
          <w:rFonts w:hint="eastAsia" w:eastAsia="仿宋_GB2312" w:cs="宋体"/>
          <w:sz w:val="32"/>
          <w:szCs w:val="32"/>
          <w:shd w:val="clear" w:color="auto" w:fill="FFFFFF"/>
        </w:rPr>
        <w:t>。</w:t>
      </w:r>
    </w:p>
    <w:p>
      <w:pPr>
        <w:pageBreakBefore w:val="0"/>
        <w:kinsoku/>
        <w:wordWrap/>
        <w:overflowPunct/>
        <w:topLinePunct w:val="0"/>
        <w:autoSpaceDE/>
        <w:autoSpaceDN/>
        <w:bidi w:val="0"/>
        <w:adjustRightInd w:val="0"/>
        <w:snapToGrid w:val="0"/>
        <w:spacing w:line="600" w:lineRule="exact"/>
        <w:ind w:firstLine="643" w:firstLineChars="200"/>
        <w:contextualSpacing/>
        <w:jc w:val="left"/>
        <w:textAlignment w:val="auto"/>
        <w:rPr>
          <w:rFonts w:eastAsia="楷体_GB2312"/>
          <w:b/>
          <w:sz w:val="32"/>
          <w:szCs w:val="32"/>
        </w:rPr>
      </w:pPr>
      <w:r>
        <w:rPr>
          <w:rFonts w:hint="eastAsia" w:eastAsia="楷体_GB2312"/>
          <w:b/>
          <w:sz w:val="32"/>
          <w:szCs w:val="32"/>
        </w:rPr>
        <w:t>（二）结果应用情况</w:t>
      </w:r>
    </w:p>
    <w:p>
      <w:pPr>
        <w:pageBreakBefore w:val="0"/>
        <w:kinsoku/>
        <w:wordWrap/>
        <w:overflowPunct/>
        <w:topLinePunct w:val="0"/>
        <w:autoSpaceDE/>
        <w:autoSpaceDN/>
        <w:bidi w:val="0"/>
        <w:spacing w:line="600" w:lineRule="exact"/>
        <w:ind w:firstLine="643" w:firstLineChars="200"/>
        <w:textAlignment w:val="auto"/>
        <w:rPr>
          <w:rFonts w:eastAsia="仿宋_GB2312"/>
          <w:sz w:val="32"/>
          <w:szCs w:val="32"/>
        </w:rPr>
      </w:pPr>
      <w:r>
        <w:rPr>
          <w:rFonts w:eastAsia="仿宋_GB2312"/>
          <w:b/>
          <w:bCs/>
          <w:kern w:val="0"/>
          <w:sz w:val="32"/>
          <w:szCs w:val="32"/>
          <w:shd w:val="clear" w:color="auto" w:fill="FFFFFF"/>
        </w:rPr>
        <w:t>1.</w:t>
      </w:r>
      <w:r>
        <w:rPr>
          <w:rFonts w:hint="eastAsia" w:eastAsia="仿宋_GB2312" w:cs="宋体"/>
          <w:b/>
          <w:bCs/>
          <w:sz w:val="32"/>
          <w:szCs w:val="32"/>
        </w:rPr>
        <w:t>信息公开。</w:t>
      </w:r>
      <w:r>
        <w:rPr>
          <w:rFonts w:eastAsia="仿宋_GB2312"/>
          <w:sz w:val="32"/>
          <w:szCs w:val="32"/>
        </w:rPr>
        <w:t>202</w:t>
      </w:r>
      <w:r>
        <w:rPr>
          <w:rFonts w:hint="eastAsia" w:eastAsia="仿宋_GB2312"/>
          <w:sz w:val="32"/>
          <w:szCs w:val="32"/>
          <w:lang w:val="en-US" w:eastAsia="zh-CN"/>
        </w:rPr>
        <w:t>1</w:t>
      </w:r>
      <w:r>
        <w:rPr>
          <w:rFonts w:hint="eastAsia" w:eastAsia="仿宋_GB2312" w:cs="宋体"/>
          <w:sz w:val="32"/>
          <w:szCs w:val="32"/>
        </w:rPr>
        <w:t>年，</w:t>
      </w:r>
      <w:r>
        <w:rPr>
          <w:rFonts w:hint="eastAsia" w:eastAsia="仿宋_GB2312" w:cs="宋体"/>
          <w:sz w:val="32"/>
          <w:szCs w:val="32"/>
          <w:shd w:val="clear" w:color="auto" w:fill="FFFFFF"/>
        </w:rPr>
        <w:t>我中心均按照统一时间、统一口径、统一格式由遂宁市住房和城乡建设局在政府门户网站上向社会公开了</w:t>
      </w:r>
      <w:r>
        <w:rPr>
          <w:rFonts w:eastAsia="仿宋_GB2312"/>
          <w:sz w:val="32"/>
          <w:szCs w:val="32"/>
          <w:shd w:val="clear" w:color="auto" w:fill="FFFFFF"/>
        </w:rPr>
        <w:t>202</w:t>
      </w:r>
      <w:r>
        <w:rPr>
          <w:rFonts w:hint="eastAsia" w:eastAsia="仿宋_GB2312"/>
          <w:sz w:val="32"/>
          <w:szCs w:val="32"/>
          <w:shd w:val="clear" w:color="auto" w:fill="FFFFFF"/>
          <w:lang w:val="en-US" w:eastAsia="zh-CN"/>
        </w:rPr>
        <w:t>1</w:t>
      </w:r>
      <w:r>
        <w:rPr>
          <w:rFonts w:hint="eastAsia" w:eastAsia="仿宋_GB2312" w:cs="宋体"/>
          <w:sz w:val="32"/>
          <w:szCs w:val="32"/>
          <w:shd w:val="clear" w:color="auto" w:fill="FFFFFF"/>
        </w:rPr>
        <w:t>年部门预算及财政资金安排的</w:t>
      </w:r>
      <w:r>
        <w:rPr>
          <w:rFonts w:hint="eastAsia" w:eastAsia="仿宋_GB2312"/>
          <w:sz w:val="32"/>
          <w:szCs w:val="32"/>
          <w:shd w:val="clear" w:color="auto" w:fill="FFFFFF"/>
        </w:rPr>
        <w:t>“</w:t>
      </w:r>
      <w:r>
        <w:rPr>
          <w:rFonts w:hint="eastAsia" w:eastAsia="仿宋_GB2312" w:cs="宋体"/>
          <w:sz w:val="32"/>
          <w:szCs w:val="32"/>
          <w:shd w:val="clear" w:color="auto" w:fill="FFFFFF"/>
        </w:rPr>
        <w:t>三公</w:t>
      </w:r>
      <w:r>
        <w:rPr>
          <w:rFonts w:hint="eastAsia" w:eastAsia="仿宋_GB2312"/>
          <w:sz w:val="32"/>
          <w:szCs w:val="32"/>
          <w:shd w:val="clear" w:color="auto" w:fill="FFFFFF"/>
        </w:rPr>
        <w:t>”</w:t>
      </w:r>
      <w:r>
        <w:rPr>
          <w:rFonts w:hint="eastAsia" w:eastAsia="仿宋_GB2312" w:cs="宋体"/>
          <w:sz w:val="32"/>
          <w:szCs w:val="32"/>
          <w:shd w:val="clear" w:color="auto" w:fill="FFFFFF"/>
        </w:rPr>
        <w:t>经费预算、</w:t>
      </w:r>
      <w:r>
        <w:rPr>
          <w:rFonts w:eastAsia="仿宋_GB2312"/>
          <w:sz w:val="32"/>
          <w:szCs w:val="32"/>
          <w:shd w:val="clear" w:color="auto" w:fill="FFFFFF"/>
        </w:rPr>
        <w:t>20</w:t>
      </w:r>
      <w:r>
        <w:rPr>
          <w:rFonts w:hint="eastAsia" w:eastAsia="仿宋_GB2312"/>
          <w:sz w:val="32"/>
          <w:szCs w:val="32"/>
          <w:shd w:val="clear" w:color="auto" w:fill="FFFFFF"/>
          <w:lang w:val="en-US" w:eastAsia="zh-CN"/>
        </w:rPr>
        <w:t>20</w:t>
      </w:r>
      <w:r>
        <w:rPr>
          <w:rFonts w:hint="eastAsia" w:eastAsia="仿宋_GB2312" w:cs="宋体"/>
          <w:sz w:val="32"/>
          <w:szCs w:val="32"/>
          <w:shd w:val="clear" w:color="auto" w:fill="FFFFFF"/>
        </w:rPr>
        <w:t>年部门决算及财政资金安排的</w:t>
      </w:r>
      <w:r>
        <w:rPr>
          <w:rFonts w:hint="eastAsia" w:eastAsia="仿宋_GB2312"/>
          <w:sz w:val="32"/>
          <w:szCs w:val="32"/>
          <w:shd w:val="clear" w:color="auto" w:fill="FFFFFF"/>
        </w:rPr>
        <w:t>“</w:t>
      </w:r>
      <w:r>
        <w:rPr>
          <w:rFonts w:hint="eastAsia" w:eastAsia="仿宋_GB2312" w:cs="宋体"/>
          <w:sz w:val="32"/>
          <w:szCs w:val="32"/>
          <w:shd w:val="clear" w:color="auto" w:fill="FFFFFF"/>
        </w:rPr>
        <w:t>三公</w:t>
      </w:r>
      <w:r>
        <w:rPr>
          <w:rFonts w:hint="eastAsia" w:eastAsia="仿宋_GB2312"/>
          <w:sz w:val="32"/>
          <w:szCs w:val="32"/>
          <w:shd w:val="clear" w:color="auto" w:fill="FFFFFF"/>
        </w:rPr>
        <w:t>”</w:t>
      </w:r>
      <w:r>
        <w:rPr>
          <w:rFonts w:hint="eastAsia" w:eastAsia="仿宋_GB2312" w:cs="宋体"/>
          <w:sz w:val="32"/>
          <w:szCs w:val="32"/>
          <w:shd w:val="clear" w:color="auto" w:fill="FFFFFF"/>
        </w:rPr>
        <w:t>经费决算及其他按要求应公开的绩效信息。</w:t>
      </w:r>
    </w:p>
    <w:p>
      <w:pPr>
        <w:pageBreakBefore w:val="0"/>
        <w:kinsoku/>
        <w:wordWrap/>
        <w:overflowPunct/>
        <w:topLinePunct w:val="0"/>
        <w:autoSpaceDE/>
        <w:autoSpaceDN/>
        <w:bidi w:val="0"/>
        <w:spacing w:line="600" w:lineRule="exact"/>
        <w:ind w:firstLine="640" w:firstLineChars="200"/>
        <w:textAlignment w:val="auto"/>
        <w:rPr>
          <w:rFonts w:eastAsia="黑体"/>
          <w:bCs/>
          <w:kern w:val="0"/>
          <w:sz w:val="32"/>
          <w:szCs w:val="32"/>
          <w:shd w:val="clear" w:color="auto" w:fill="FFFFFF"/>
        </w:rPr>
      </w:pPr>
      <w:r>
        <w:rPr>
          <w:rFonts w:hint="eastAsia" w:eastAsia="黑体"/>
          <w:bCs/>
          <w:kern w:val="0"/>
          <w:sz w:val="32"/>
          <w:szCs w:val="32"/>
          <w:shd w:val="clear" w:color="auto" w:fill="FFFFFF"/>
        </w:rPr>
        <w:t>四、评价结论及建议</w:t>
      </w:r>
    </w:p>
    <w:p>
      <w:pPr>
        <w:pageBreakBefore w:val="0"/>
        <w:kinsoku/>
        <w:wordWrap/>
        <w:overflowPunct/>
        <w:topLinePunct w:val="0"/>
        <w:autoSpaceDE/>
        <w:autoSpaceDN/>
        <w:bidi w:val="0"/>
        <w:adjustRightInd w:val="0"/>
        <w:snapToGrid w:val="0"/>
        <w:spacing w:line="600" w:lineRule="exact"/>
        <w:ind w:firstLine="643" w:firstLineChars="200"/>
        <w:contextualSpacing/>
        <w:jc w:val="left"/>
        <w:textAlignment w:val="auto"/>
        <w:rPr>
          <w:rFonts w:eastAsia="楷体_GB2312"/>
          <w:b/>
          <w:sz w:val="32"/>
          <w:szCs w:val="32"/>
        </w:rPr>
      </w:pPr>
      <w:r>
        <w:rPr>
          <w:rFonts w:hint="eastAsia" w:eastAsia="楷体_GB2312"/>
          <w:b/>
          <w:sz w:val="32"/>
          <w:szCs w:val="32"/>
        </w:rPr>
        <w:t>（一）评价结论</w:t>
      </w:r>
    </w:p>
    <w:p>
      <w:pPr>
        <w:pageBreakBefore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eastAsia="仿宋_GB2312" w:cs="宋体"/>
          <w:sz w:val="32"/>
          <w:szCs w:val="32"/>
        </w:rPr>
      </w:pPr>
      <w:r>
        <w:rPr>
          <w:rFonts w:eastAsia="仿宋_GB2312"/>
          <w:sz w:val="32"/>
          <w:szCs w:val="32"/>
        </w:rPr>
        <w:t>202</w:t>
      </w:r>
      <w:r>
        <w:rPr>
          <w:rFonts w:hint="eastAsia" w:eastAsia="仿宋_GB2312"/>
          <w:sz w:val="32"/>
          <w:szCs w:val="32"/>
          <w:lang w:val="en-US" w:eastAsia="zh-CN"/>
        </w:rPr>
        <w:t>1</w:t>
      </w:r>
      <w:r>
        <w:rPr>
          <w:rFonts w:hint="eastAsia" w:eastAsia="仿宋_GB2312" w:cs="宋体"/>
          <w:sz w:val="32"/>
          <w:szCs w:val="32"/>
        </w:rPr>
        <w:t>年，我中心认真履行职能职责，基本完成了各项目标任务。</w:t>
      </w:r>
      <w:r>
        <w:rPr>
          <w:rFonts w:hint="eastAsia" w:eastAsia="仿宋_GB2312" w:cs="宋体"/>
          <w:sz w:val="32"/>
          <w:szCs w:val="32"/>
          <w:lang w:val="en-US" w:eastAsia="zh-CN"/>
        </w:rPr>
        <w:t>根据《</w:t>
      </w:r>
      <w:r>
        <w:rPr>
          <w:rFonts w:hint="eastAsia" w:eastAsia="仿宋_GB2312" w:cs="宋体"/>
          <w:sz w:val="32"/>
          <w:szCs w:val="32"/>
        </w:rPr>
        <w:t>遂宁市财政局关于开展2022年部门、项目、政策支出绩效自评工作的通知</w:t>
      </w:r>
      <w:r>
        <w:rPr>
          <w:rFonts w:hint="eastAsia" w:eastAsia="仿宋_GB2312" w:cs="宋体"/>
          <w:sz w:val="32"/>
          <w:szCs w:val="32"/>
          <w:lang w:eastAsia="zh-CN"/>
        </w:rPr>
        <w:t>》，</w:t>
      </w:r>
      <w:r>
        <w:rPr>
          <w:rFonts w:hint="eastAsia" w:eastAsia="仿宋_GB2312" w:cs="宋体"/>
          <w:sz w:val="32"/>
          <w:szCs w:val="32"/>
          <w:lang w:val="en-US" w:eastAsia="zh-CN"/>
        </w:rPr>
        <w:t>对2021年部门整体支出情况开展绩效自评，</w:t>
      </w:r>
      <w:r>
        <w:rPr>
          <w:rFonts w:hint="eastAsia" w:eastAsia="仿宋_GB2312" w:cs="宋体"/>
          <w:sz w:val="32"/>
          <w:szCs w:val="32"/>
        </w:rPr>
        <w:t>依照《202</w:t>
      </w:r>
      <w:r>
        <w:rPr>
          <w:rFonts w:hint="eastAsia" w:eastAsia="仿宋_GB2312" w:cs="宋体"/>
          <w:sz w:val="32"/>
          <w:szCs w:val="32"/>
          <w:lang w:val="en-US" w:eastAsia="zh-CN"/>
        </w:rPr>
        <w:t>1</w:t>
      </w:r>
      <w:r>
        <w:rPr>
          <w:rFonts w:hint="eastAsia" w:eastAsia="仿宋_GB2312" w:cs="宋体"/>
          <w:sz w:val="32"/>
          <w:szCs w:val="32"/>
        </w:rPr>
        <w:t>年市级部门整体预算绩效评价指标体系》，</w:t>
      </w:r>
      <w:r>
        <w:rPr>
          <w:rFonts w:hint="eastAsia" w:eastAsia="仿宋_GB2312" w:cs="宋体"/>
          <w:sz w:val="32"/>
          <w:szCs w:val="32"/>
          <w:lang w:val="en-US" w:eastAsia="zh-CN"/>
        </w:rPr>
        <w:t>我中心</w:t>
      </w:r>
      <w:r>
        <w:rPr>
          <w:rFonts w:hint="eastAsia" w:eastAsia="仿宋_GB2312" w:cs="宋体"/>
          <w:sz w:val="32"/>
          <w:szCs w:val="32"/>
        </w:rPr>
        <w:t>自评</w:t>
      </w:r>
      <w:r>
        <w:rPr>
          <w:rFonts w:hint="eastAsia" w:eastAsia="仿宋_GB2312" w:cs="宋体"/>
          <w:sz w:val="32"/>
          <w:szCs w:val="32"/>
          <w:lang w:val="en-US" w:eastAsia="zh-CN"/>
        </w:rPr>
        <w:t>得分</w:t>
      </w:r>
      <w:r>
        <w:rPr>
          <w:rFonts w:hint="eastAsia" w:eastAsia="仿宋_GB2312" w:cs="宋体"/>
          <w:sz w:val="32"/>
          <w:szCs w:val="32"/>
        </w:rPr>
        <w:t>为</w:t>
      </w:r>
      <w:r>
        <w:rPr>
          <w:rFonts w:hint="eastAsia" w:eastAsia="仿宋_GB2312" w:cs="宋体"/>
          <w:sz w:val="32"/>
          <w:szCs w:val="32"/>
          <w:lang w:val="en-US" w:eastAsia="zh-CN"/>
        </w:rPr>
        <w:t>74.03</w:t>
      </w:r>
      <w:r>
        <w:rPr>
          <w:rFonts w:hint="eastAsia" w:eastAsia="仿宋_GB2312" w:cs="宋体"/>
          <w:sz w:val="32"/>
          <w:szCs w:val="32"/>
        </w:rPr>
        <w:t>分。</w:t>
      </w:r>
    </w:p>
    <w:p>
      <w:pPr>
        <w:pageBreakBefore w:val="0"/>
        <w:kinsoku/>
        <w:wordWrap/>
        <w:overflowPunct/>
        <w:topLinePunct w:val="0"/>
        <w:autoSpaceDE/>
        <w:autoSpaceDN/>
        <w:bidi w:val="0"/>
        <w:adjustRightInd w:val="0"/>
        <w:snapToGrid w:val="0"/>
        <w:spacing w:line="600" w:lineRule="exact"/>
        <w:ind w:firstLine="643" w:firstLineChars="200"/>
        <w:contextualSpacing/>
        <w:jc w:val="left"/>
        <w:textAlignment w:val="auto"/>
        <w:rPr>
          <w:rFonts w:eastAsia="楷体_GB2312"/>
          <w:b/>
          <w:sz w:val="32"/>
          <w:szCs w:val="32"/>
        </w:rPr>
      </w:pPr>
      <w:r>
        <w:rPr>
          <w:rFonts w:hint="eastAsia" w:eastAsia="楷体_GB2312"/>
          <w:b/>
          <w:sz w:val="32"/>
          <w:szCs w:val="32"/>
        </w:rPr>
        <w:t>（二）存在问题</w:t>
      </w:r>
    </w:p>
    <w:p>
      <w:pPr>
        <w:pageBreakBefore w:val="0"/>
        <w:kinsoku/>
        <w:wordWrap/>
        <w:overflowPunct/>
        <w:topLinePunct w:val="0"/>
        <w:autoSpaceDE/>
        <w:autoSpaceDN/>
        <w:bidi w:val="0"/>
        <w:spacing w:line="600" w:lineRule="exact"/>
        <w:ind w:firstLine="640" w:firstLineChars="200"/>
        <w:textAlignment w:val="auto"/>
        <w:rPr>
          <w:rFonts w:eastAsia="仿宋_GB2312"/>
          <w:sz w:val="32"/>
          <w:szCs w:val="32"/>
        </w:rPr>
      </w:pPr>
      <w:r>
        <w:rPr>
          <w:rFonts w:eastAsia="仿宋_GB2312"/>
          <w:sz w:val="32"/>
          <w:szCs w:val="32"/>
        </w:rPr>
        <w:t>1.</w:t>
      </w:r>
      <w:r>
        <w:rPr>
          <w:rFonts w:hint="eastAsia" w:eastAsia="仿宋_GB2312" w:cs="宋体"/>
          <w:sz w:val="32"/>
          <w:szCs w:val="32"/>
        </w:rPr>
        <w:t>部门年初预算数与决算数偏差较大，预算编制精细度不够。</w:t>
      </w:r>
    </w:p>
    <w:p>
      <w:pPr>
        <w:pageBreakBefore w:val="0"/>
        <w:kinsoku/>
        <w:wordWrap/>
        <w:overflowPunct/>
        <w:topLinePunct w:val="0"/>
        <w:autoSpaceDE/>
        <w:autoSpaceDN/>
        <w:bidi w:val="0"/>
        <w:spacing w:line="600" w:lineRule="exact"/>
        <w:ind w:firstLine="640" w:firstLineChars="200"/>
        <w:textAlignment w:val="auto"/>
        <w:rPr>
          <w:rFonts w:eastAsia="仿宋_GB2312" w:cs="宋体"/>
          <w:sz w:val="32"/>
          <w:szCs w:val="32"/>
        </w:rPr>
      </w:pPr>
      <w:r>
        <w:rPr>
          <w:rFonts w:eastAsia="仿宋_GB2312"/>
          <w:sz w:val="32"/>
          <w:szCs w:val="32"/>
        </w:rPr>
        <w:t>2.</w:t>
      </w:r>
      <w:r>
        <w:rPr>
          <w:rFonts w:hint="eastAsia" w:eastAsia="仿宋_GB2312" w:cs="宋体"/>
          <w:sz w:val="32"/>
          <w:szCs w:val="32"/>
        </w:rPr>
        <w:t>预算执行率低。部分项目由于项目进度慢、合同跨年等原因，结算支出时间滞后，导致预算执行率低。</w:t>
      </w:r>
    </w:p>
    <w:p>
      <w:pPr>
        <w:pageBreakBefore w:val="0"/>
        <w:kinsoku/>
        <w:wordWrap/>
        <w:overflowPunct/>
        <w:topLinePunct w:val="0"/>
        <w:autoSpaceDE/>
        <w:autoSpaceDN/>
        <w:bidi w:val="0"/>
        <w:adjustRightInd w:val="0"/>
        <w:snapToGrid w:val="0"/>
        <w:spacing w:line="600" w:lineRule="exact"/>
        <w:ind w:firstLine="643" w:firstLineChars="200"/>
        <w:contextualSpacing/>
        <w:jc w:val="left"/>
        <w:textAlignment w:val="auto"/>
        <w:rPr>
          <w:rFonts w:eastAsia="楷体_GB2312"/>
          <w:b/>
          <w:sz w:val="32"/>
          <w:szCs w:val="32"/>
        </w:rPr>
      </w:pPr>
      <w:r>
        <w:rPr>
          <w:rFonts w:hint="eastAsia" w:eastAsia="楷体_GB2312"/>
          <w:b/>
          <w:sz w:val="32"/>
          <w:szCs w:val="32"/>
        </w:rPr>
        <w:t>（三）改进建议</w:t>
      </w:r>
    </w:p>
    <w:p>
      <w:pPr>
        <w:pageBreakBefore w:val="0"/>
        <w:kinsoku/>
        <w:wordWrap/>
        <w:overflowPunct/>
        <w:topLinePunct w:val="0"/>
        <w:autoSpaceDE/>
        <w:autoSpaceDN/>
        <w:bidi w:val="0"/>
        <w:spacing w:line="600" w:lineRule="exact"/>
        <w:ind w:firstLine="640" w:firstLineChars="200"/>
        <w:jc w:val="left"/>
        <w:textAlignment w:val="auto"/>
        <w:rPr>
          <w:rFonts w:eastAsia="仿宋_GB2312"/>
          <w:sz w:val="32"/>
          <w:szCs w:val="32"/>
        </w:rPr>
      </w:pPr>
      <w:r>
        <w:rPr>
          <w:rFonts w:eastAsia="仿宋_GB2312"/>
          <w:sz w:val="32"/>
          <w:szCs w:val="32"/>
        </w:rPr>
        <w:t>1.</w:t>
      </w:r>
      <w:r>
        <w:rPr>
          <w:rFonts w:hint="eastAsia" w:eastAsia="仿宋_GB2312" w:cs="宋体"/>
          <w:sz w:val="32"/>
          <w:szCs w:val="32"/>
        </w:rPr>
        <w:t>进一步细化预算编制内容，提高预算编制的科学性、合理性、准确性。</w:t>
      </w:r>
    </w:p>
    <w:p>
      <w:pPr>
        <w:pageBreakBefore w:val="0"/>
        <w:kinsoku/>
        <w:wordWrap/>
        <w:overflowPunct/>
        <w:topLinePunct w:val="0"/>
        <w:autoSpaceDE/>
        <w:autoSpaceDN/>
        <w:bidi w:val="0"/>
        <w:spacing w:line="600" w:lineRule="exact"/>
        <w:ind w:firstLine="640" w:firstLineChars="200"/>
        <w:jc w:val="left"/>
        <w:textAlignment w:val="auto"/>
        <w:rPr>
          <w:rFonts w:hint="eastAsia" w:eastAsia="仿宋_GB2312" w:cs="宋体"/>
          <w:sz w:val="32"/>
          <w:szCs w:val="32"/>
        </w:rPr>
      </w:pPr>
      <w:r>
        <w:rPr>
          <w:rFonts w:eastAsia="仿宋_GB2312"/>
          <w:sz w:val="32"/>
          <w:szCs w:val="32"/>
        </w:rPr>
        <w:t>2.</w:t>
      </w:r>
      <w:r>
        <w:rPr>
          <w:rFonts w:hint="eastAsia" w:eastAsia="仿宋_GB2312" w:cs="宋体"/>
          <w:sz w:val="32"/>
          <w:szCs w:val="32"/>
        </w:rPr>
        <w:t>进一步提高预算执行进度。加快项目实施进度，及时对预算执行情况进行通报和预警。</w:t>
      </w:r>
    </w:p>
    <w:p>
      <w:pPr>
        <w:spacing w:line="546" w:lineRule="exact"/>
        <w:ind w:firstLine="640" w:firstLineChars="200"/>
        <w:jc w:val="left"/>
        <w:rPr>
          <w:rFonts w:hint="eastAsia" w:eastAsia="仿宋_GB2312" w:cs="宋体"/>
          <w:sz w:val="32"/>
          <w:szCs w:val="32"/>
        </w:rPr>
      </w:pPr>
    </w:p>
    <w:p>
      <w:pPr>
        <w:pStyle w:val="2"/>
        <w:rPr>
          <w:rFonts w:hint="eastAsia" w:eastAsia="仿宋_GB2312" w:cs="宋体"/>
          <w:sz w:val="32"/>
          <w:szCs w:val="32"/>
        </w:rPr>
      </w:pPr>
    </w:p>
    <w:p>
      <w:pPr>
        <w:pStyle w:val="2"/>
        <w:rPr>
          <w:rFonts w:hint="eastAsia" w:eastAsia="仿宋_GB2312" w:cs="宋体"/>
          <w:sz w:val="32"/>
          <w:szCs w:val="32"/>
        </w:rPr>
      </w:pPr>
    </w:p>
    <w:p>
      <w:pPr>
        <w:pStyle w:val="2"/>
        <w:rPr>
          <w:rFonts w:hint="eastAsia" w:eastAsia="仿宋_GB2312" w:cs="宋体"/>
          <w:sz w:val="32"/>
          <w:szCs w:val="32"/>
        </w:rPr>
      </w:pPr>
    </w:p>
    <w:p>
      <w:pPr>
        <w:pStyle w:val="2"/>
        <w:rPr>
          <w:rFonts w:hint="eastAsia" w:eastAsia="仿宋_GB2312" w:cs="宋体"/>
          <w:sz w:val="32"/>
          <w:szCs w:val="32"/>
        </w:rPr>
      </w:pPr>
    </w:p>
    <w:p>
      <w:pPr>
        <w:pStyle w:val="2"/>
        <w:rPr>
          <w:rFonts w:hint="eastAsia" w:eastAsia="仿宋_GB2312" w:cs="宋体"/>
          <w:sz w:val="32"/>
          <w:szCs w:val="32"/>
        </w:rPr>
      </w:pPr>
    </w:p>
    <w:p>
      <w:pPr>
        <w:pStyle w:val="2"/>
        <w:rPr>
          <w:rFonts w:hint="eastAsia" w:eastAsia="仿宋_GB2312" w:cs="宋体"/>
          <w:sz w:val="32"/>
          <w:szCs w:val="32"/>
        </w:rPr>
      </w:pPr>
    </w:p>
    <w:p>
      <w:pPr>
        <w:pStyle w:val="2"/>
        <w:rPr>
          <w:rFonts w:hint="eastAsia" w:eastAsia="仿宋_GB2312" w:cs="宋体"/>
          <w:sz w:val="32"/>
          <w:szCs w:val="32"/>
        </w:rPr>
      </w:pPr>
    </w:p>
    <w:p>
      <w:pPr>
        <w:pStyle w:val="2"/>
        <w:rPr>
          <w:rFonts w:hint="eastAsia" w:eastAsia="仿宋_GB2312" w:cs="宋体"/>
          <w:sz w:val="32"/>
          <w:szCs w:val="32"/>
        </w:rPr>
      </w:pPr>
    </w:p>
    <w:p>
      <w:pPr>
        <w:pStyle w:val="2"/>
        <w:rPr>
          <w:rFonts w:hint="eastAsia" w:eastAsia="仿宋_GB2312" w:cs="宋体"/>
          <w:sz w:val="32"/>
          <w:szCs w:val="32"/>
        </w:rPr>
      </w:pPr>
    </w:p>
    <w:p>
      <w:pPr>
        <w:pStyle w:val="2"/>
        <w:rPr>
          <w:rFonts w:hint="eastAsia" w:eastAsia="仿宋_GB2312" w:cs="宋体"/>
          <w:sz w:val="32"/>
          <w:szCs w:val="32"/>
        </w:rPr>
      </w:pPr>
    </w:p>
    <w:p>
      <w:pPr>
        <w:pStyle w:val="2"/>
        <w:rPr>
          <w:rFonts w:hint="eastAsia" w:eastAsia="仿宋_GB2312" w:cs="宋体"/>
          <w:sz w:val="32"/>
          <w:szCs w:val="32"/>
        </w:rPr>
      </w:pPr>
    </w:p>
    <w:p>
      <w:pPr>
        <w:pStyle w:val="2"/>
        <w:rPr>
          <w:rFonts w:hint="eastAsia" w:ascii="黑体" w:hAnsi="黑体" w:eastAsia="黑体"/>
          <w:color w:val="auto"/>
          <w:sz w:val="28"/>
          <w:szCs w:val="28"/>
          <w:highlight w:val="none"/>
          <w:lang w:val="en-US" w:eastAsia="zh-CN"/>
        </w:rPr>
      </w:pPr>
      <w:r>
        <w:rPr>
          <w:rFonts w:hint="eastAsia" w:ascii="黑体" w:hAnsi="黑体" w:eastAsia="黑体"/>
          <w:color w:val="auto"/>
          <w:sz w:val="28"/>
          <w:szCs w:val="28"/>
          <w:highlight w:val="none"/>
          <w:lang w:val="en-US" w:eastAsia="zh-CN"/>
        </w:rPr>
        <w:t>附件2</w:t>
      </w:r>
    </w:p>
    <w:p>
      <w:pPr>
        <w:snapToGrid w:val="0"/>
        <w:spacing w:line="600" w:lineRule="exact"/>
        <w:jc w:val="center"/>
        <w:rPr>
          <w:rFonts w:ascii="方正小标宋简体" w:hAnsi="宋体" w:eastAsia="方正小标宋简体"/>
          <w:sz w:val="40"/>
          <w:szCs w:val="40"/>
        </w:rPr>
      </w:pPr>
      <w:bookmarkStart w:id="58" w:name="_Toc15396618"/>
      <w:r>
        <w:rPr>
          <w:rFonts w:hint="eastAsia" w:ascii="方正小标宋简体" w:hAnsi="宋体" w:eastAsia="方正小标宋简体"/>
          <w:sz w:val="40"/>
          <w:szCs w:val="40"/>
        </w:rPr>
        <w:t>遂宁市住房和</w:t>
      </w:r>
      <w:r>
        <w:rPr>
          <w:rFonts w:ascii="方正小标宋简体" w:hAnsi="宋体" w:eastAsia="方正小标宋简体"/>
          <w:sz w:val="40"/>
          <w:szCs w:val="40"/>
        </w:rPr>
        <w:t>城乡建设事务中心</w:t>
      </w:r>
    </w:p>
    <w:p>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0"/>
          <w:szCs w:val="40"/>
        </w:rPr>
        <w:t>202</w:t>
      </w:r>
      <w:r>
        <w:rPr>
          <w:rFonts w:hint="eastAsia" w:ascii="方正小标宋简体" w:hAnsi="宋体" w:eastAsia="方正小标宋简体"/>
          <w:sz w:val="40"/>
          <w:szCs w:val="40"/>
          <w:lang w:val="en-US" w:eastAsia="zh-CN"/>
        </w:rPr>
        <w:t>1</w:t>
      </w:r>
      <w:r>
        <w:rPr>
          <w:rFonts w:hint="eastAsia" w:ascii="方正小标宋简体" w:hAnsi="宋体" w:eastAsia="方正小标宋简体"/>
          <w:sz w:val="40"/>
          <w:szCs w:val="40"/>
        </w:rPr>
        <w:t>年部门预算项目支出绩效自评报告</w:t>
      </w:r>
    </w:p>
    <w:p>
      <w:pPr>
        <w:tabs>
          <w:tab w:val="left" w:pos="3885"/>
        </w:tabs>
        <w:snapToGrid w:val="0"/>
        <w:spacing w:line="600" w:lineRule="exact"/>
        <w:jc w:val="center"/>
        <w:rPr>
          <w:rFonts w:hint="eastAsia" w:ascii="仿宋" w:hAnsi="仿宋" w:eastAsia="仿宋" w:cstheme="majorBidi"/>
          <w:b w:val="0"/>
          <w:bCs/>
          <w:color w:val="auto"/>
          <w:kern w:val="2"/>
          <w:sz w:val="32"/>
          <w:szCs w:val="32"/>
          <w:highlight w:val="none"/>
          <w:lang w:val="en-US" w:eastAsia="zh-CN" w:bidi="ar-SA"/>
        </w:rPr>
      </w:pPr>
      <w:r>
        <w:rPr>
          <w:rFonts w:hint="eastAsia" w:ascii="仿宋" w:hAnsi="仿宋" w:eastAsia="仿宋" w:cstheme="majorBidi"/>
          <w:b w:val="0"/>
          <w:bCs/>
          <w:color w:val="auto"/>
          <w:kern w:val="2"/>
          <w:sz w:val="32"/>
          <w:szCs w:val="32"/>
          <w:highlight w:val="none"/>
          <w:lang w:val="en-US" w:eastAsia="zh-CN" w:bidi="ar-SA"/>
        </w:rPr>
        <w:t>（事务中心日常维修维护管理费）</w:t>
      </w:r>
    </w:p>
    <w:p>
      <w:pPr>
        <w:tabs>
          <w:tab w:val="left" w:pos="3885"/>
        </w:tabs>
        <w:snapToGrid w:val="0"/>
        <w:spacing w:line="600" w:lineRule="exact"/>
        <w:ind w:firstLine="422" w:firstLineChars="200"/>
        <w:jc w:val="left"/>
        <w:rPr>
          <w:rFonts w:ascii="宋体" w:hAnsi="宋体"/>
          <w:b/>
          <w:szCs w:val="21"/>
        </w:rPr>
      </w:pPr>
    </w:p>
    <w:p>
      <w:pPr>
        <w:tabs>
          <w:tab w:val="left" w:pos="3885"/>
        </w:tabs>
        <w:snapToGrid w:val="0"/>
        <w:spacing w:line="600" w:lineRule="exact"/>
        <w:ind w:firstLine="640" w:firstLineChars="200"/>
        <w:jc w:val="left"/>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一、基本情况</w:t>
      </w:r>
    </w:p>
    <w:p>
      <w:pPr>
        <w:pStyle w:val="24"/>
        <w:numPr>
          <w:ilvl w:val="0"/>
          <w:numId w:val="0"/>
        </w:numPr>
        <w:tabs>
          <w:tab w:val="left" w:pos="3885"/>
        </w:tabs>
        <w:snapToGrid w:val="0"/>
        <w:spacing w:line="600" w:lineRule="exact"/>
        <w:ind w:left="643" w:leftChars="0"/>
        <w:jc w:val="left"/>
        <w:rPr>
          <w:rFonts w:hint="eastAsia" w:ascii="仿宋" w:hAnsi="仿宋" w:eastAsia="仿宋" w:cstheme="majorBidi"/>
          <w:b/>
          <w:bCs w:val="0"/>
          <w:color w:val="auto"/>
          <w:kern w:val="2"/>
          <w:sz w:val="32"/>
          <w:szCs w:val="32"/>
          <w:highlight w:val="none"/>
          <w:lang w:val="en-US" w:eastAsia="zh-CN" w:bidi="ar-SA"/>
        </w:rPr>
      </w:pPr>
      <w:r>
        <w:rPr>
          <w:rFonts w:hint="eastAsia" w:ascii="仿宋" w:hAnsi="仿宋" w:eastAsia="仿宋" w:cstheme="majorBidi"/>
          <w:b/>
          <w:bCs w:val="0"/>
          <w:color w:val="auto"/>
          <w:kern w:val="2"/>
          <w:sz w:val="32"/>
          <w:szCs w:val="32"/>
          <w:highlight w:val="none"/>
          <w:lang w:val="en-US" w:eastAsia="zh-CN" w:bidi="ar-SA"/>
        </w:rPr>
        <w:t>（一）项目概况</w:t>
      </w:r>
    </w:p>
    <w:p>
      <w:pPr>
        <w:tabs>
          <w:tab w:val="left" w:pos="3885"/>
        </w:tabs>
        <w:snapToGrid w:val="0"/>
        <w:spacing w:line="600" w:lineRule="exact"/>
        <w:ind w:firstLine="640" w:firstLineChars="200"/>
        <w:jc w:val="left"/>
        <w:rPr>
          <w:rFonts w:hint="eastAsia" w:ascii="仿宋" w:hAnsi="仿宋" w:eastAsia="仿宋" w:cstheme="majorBidi"/>
          <w:b w:val="0"/>
          <w:bCs/>
          <w:color w:val="auto"/>
          <w:kern w:val="2"/>
          <w:sz w:val="32"/>
          <w:szCs w:val="32"/>
          <w:highlight w:val="none"/>
          <w:lang w:val="en-US" w:eastAsia="zh-CN" w:bidi="ar-SA"/>
        </w:rPr>
      </w:pPr>
      <w:r>
        <w:rPr>
          <w:rFonts w:hint="eastAsia" w:ascii="仿宋" w:hAnsi="仿宋" w:eastAsia="仿宋" w:cstheme="majorBidi"/>
          <w:b w:val="0"/>
          <w:bCs/>
          <w:color w:val="auto"/>
          <w:kern w:val="2"/>
          <w:sz w:val="32"/>
          <w:szCs w:val="32"/>
          <w:highlight w:val="none"/>
          <w:lang w:val="en-US" w:eastAsia="zh-CN" w:bidi="ar-SA"/>
        </w:rPr>
        <w:t>用于更新市城区地下管网数据信息，确保市城区范围内地下管网信息准确性，满足日常市政工程施工统筹、雨污管网维护；用于缴纳城市照明设施智能控制系统通讯费，确保老城区范围内城市照明设施、水景设施正常运行，保证亮灯率；用于事务中心日常维护管理费。</w:t>
      </w:r>
    </w:p>
    <w:p>
      <w:pPr>
        <w:pStyle w:val="24"/>
        <w:numPr>
          <w:ilvl w:val="0"/>
          <w:numId w:val="0"/>
        </w:numPr>
        <w:tabs>
          <w:tab w:val="left" w:pos="3885"/>
        </w:tabs>
        <w:snapToGrid w:val="0"/>
        <w:spacing w:line="600" w:lineRule="exact"/>
        <w:ind w:left="643" w:leftChars="0"/>
        <w:jc w:val="left"/>
        <w:rPr>
          <w:rFonts w:hint="eastAsia" w:ascii="仿宋" w:hAnsi="仿宋" w:eastAsia="仿宋" w:cstheme="majorBidi"/>
          <w:b/>
          <w:bCs w:val="0"/>
          <w:color w:val="auto"/>
          <w:kern w:val="2"/>
          <w:sz w:val="32"/>
          <w:szCs w:val="32"/>
          <w:highlight w:val="none"/>
          <w:lang w:val="en-US" w:eastAsia="zh-CN" w:bidi="ar-SA"/>
        </w:rPr>
      </w:pPr>
      <w:r>
        <w:rPr>
          <w:rFonts w:hint="eastAsia" w:ascii="仿宋" w:hAnsi="仿宋" w:eastAsia="仿宋" w:cstheme="majorBidi"/>
          <w:b/>
          <w:bCs w:val="0"/>
          <w:color w:val="auto"/>
          <w:kern w:val="2"/>
          <w:sz w:val="32"/>
          <w:szCs w:val="32"/>
          <w:highlight w:val="none"/>
          <w:lang w:val="en-US" w:eastAsia="zh-CN" w:bidi="ar-SA"/>
        </w:rPr>
        <w:t>（二）项目实施情况</w:t>
      </w:r>
    </w:p>
    <w:p>
      <w:pPr>
        <w:tabs>
          <w:tab w:val="left" w:pos="3885"/>
        </w:tabs>
        <w:snapToGrid w:val="0"/>
        <w:spacing w:line="600" w:lineRule="exact"/>
        <w:ind w:firstLine="640" w:firstLineChars="200"/>
        <w:jc w:val="left"/>
        <w:rPr>
          <w:rFonts w:hint="eastAsia" w:ascii="仿宋" w:hAnsi="仿宋" w:eastAsia="仿宋" w:cstheme="majorBidi"/>
          <w:b w:val="0"/>
          <w:bCs/>
          <w:color w:val="auto"/>
          <w:kern w:val="2"/>
          <w:sz w:val="32"/>
          <w:szCs w:val="32"/>
          <w:highlight w:val="none"/>
          <w:lang w:val="en-US" w:eastAsia="zh-CN" w:bidi="ar-SA"/>
        </w:rPr>
      </w:pPr>
      <w:r>
        <w:rPr>
          <w:rFonts w:hint="eastAsia" w:ascii="仿宋" w:hAnsi="仿宋" w:eastAsia="仿宋" w:cstheme="majorBidi"/>
          <w:b w:val="0"/>
          <w:bCs/>
          <w:color w:val="auto"/>
          <w:kern w:val="2"/>
          <w:sz w:val="32"/>
          <w:szCs w:val="32"/>
          <w:highlight w:val="none"/>
          <w:lang w:val="en-US" w:eastAsia="zh-CN" w:bidi="ar-SA"/>
        </w:rPr>
        <w:t>收集市中心城区管网最新数据进行处理，转换为原数据库匹配的图形数据与属性数据，对数据进行检查，确认数据无误后，将数据入库并发布数据；与船山区市政中心联合组织开展“2021年遂宁市城区排水防涝应急演练”1次，通过实战加强防汛队伍建设，进一步提升汛期应急处置能力；在三桥库房安排值班值守，防止国有资产丢失。</w:t>
      </w:r>
    </w:p>
    <w:p>
      <w:pPr>
        <w:pStyle w:val="24"/>
        <w:numPr>
          <w:ilvl w:val="0"/>
          <w:numId w:val="0"/>
        </w:numPr>
        <w:tabs>
          <w:tab w:val="left" w:pos="3885"/>
        </w:tabs>
        <w:snapToGrid w:val="0"/>
        <w:spacing w:line="600" w:lineRule="exact"/>
        <w:ind w:left="643" w:leftChars="0"/>
        <w:jc w:val="left"/>
        <w:rPr>
          <w:rFonts w:hint="eastAsia" w:ascii="仿宋" w:hAnsi="仿宋" w:eastAsia="仿宋" w:cstheme="majorBidi"/>
          <w:b/>
          <w:bCs w:val="0"/>
          <w:color w:val="auto"/>
          <w:kern w:val="2"/>
          <w:sz w:val="32"/>
          <w:szCs w:val="32"/>
          <w:highlight w:val="none"/>
          <w:lang w:val="en-US" w:eastAsia="zh-CN" w:bidi="ar-SA"/>
        </w:rPr>
      </w:pPr>
      <w:r>
        <w:rPr>
          <w:rFonts w:hint="eastAsia" w:ascii="仿宋" w:hAnsi="仿宋" w:eastAsia="仿宋" w:cstheme="majorBidi"/>
          <w:b/>
          <w:bCs w:val="0"/>
          <w:color w:val="auto"/>
          <w:kern w:val="2"/>
          <w:sz w:val="32"/>
          <w:szCs w:val="32"/>
          <w:highlight w:val="none"/>
          <w:lang w:val="en-US" w:eastAsia="zh-CN" w:bidi="ar-SA"/>
        </w:rPr>
        <w:t>（三）资金投入使用情况</w:t>
      </w:r>
    </w:p>
    <w:p>
      <w:pPr>
        <w:tabs>
          <w:tab w:val="left" w:pos="3885"/>
        </w:tabs>
        <w:snapToGrid w:val="0"/>
        <w:spacing w:line="600" w:lineRule="exact"/>
        <w:ind w:firstLine="640" w:firstLineChars="200"/>
        <w:jc w:val="left"/>
        <w:rPr>
          <w:rFonts w:hint="eastAsia" w:ascii="仿宋" w:hAnsi="仿宋" w:eastAsia="仿宋" w:cstheme="majorBidi"/>
          <w:b w:val="0"/>
          <w:bCs/>
          <w:color w:val="auto"/>
          <w:kern w:val="2"/>
          <w:sz w:val="32"/>
          <w:szCs w:val="32"/>
          <w:highlight w:val="none"/>
          <w:lang w:val="en-US" w:eastAsia="zh-CN" w:bidi="ar-SA"/>
        </w:rPr>
      </w:pPr>
      <w:r>
        <w:rPr>
          <w:rFonts w:hint="eastAsia" w:ascii="仿宋" w:hAnsi="仿宋" w:eastAsia="仿宋" w:cstheme="majorBidi"/>
          <w:b w:val="0"/>
          <w:bCs/>
          <w:color w:val="auto"/>
          <w:kern w:val="2"/>
          <w:sz w:val="32"/>
          <w:szCs w:val="32"/>
          <w:highlight w:val="none"/>
          <w:lang w:val="en-US" w:eastAsia="zh-CN" w:bidi="ar-SA"/>
        </w:rPr>
        <w:t>项目年初预算数93.98万元，本年调减40万元，全年执行数28.07万元。</w:t>
      </w:r>
    </w:p>
    <w:p>
      <w:pPr>
        <w:pStyle w:val="24"/>
        <w:numPr>
          <w:ilvl w:val="0"/>
          <w:numId w:val="0"/>
        </w:numPr>
        <w:tabs>
          <w:tab w:val="left" w:pos="3885"/>
        </w:tabs>
        <w:snapToGrid w:val="0"/>
        <w:spacing w:line="600" w:lineRule="exact"/>
        <w:ind w:left="643" w:leftChars="0"/>
        <w:jc w:val="left"/>
        <w:rPr>
          <w:rFonts w:hint="eastAsia" w:ascii="仿宋" w:hAnsi="仿宋" w:eastAsia="仿宋" w:cstheme="majorBidi"/>
          <w:b/>
          <w:bCs w:val="0"/>
          <w:color w:val="auto"/>
          <w:kern w:val="2"/>
          <w:sz w:val="32"/>
          <w:szCs w:val="32"/>
          <w:highlight w:val="none"/>
          <w:lang w:val="en-US" w:eastAsia="zh-CN" w:bidi="ar-SA"/>
        </w:rPr>
      </w:pPr>
      <w:r>
        <w:rPr>
          <w:rFonts w:hint="eastAsia" w:ascii="仿宋" w:hAnsi="仿宋" w:eastAsia="仿宋" w:cstheme="majorBidi"/>
          <w:b/>
          <w:bCs w:val="0"/>
          <w:color w:val="auto"/>
          <w:kern w:val="2"/>
          <w:sz w:val="32"/>
          <w:szCs w:val="32"/>
          <w:highlight w:val="none"/>
          <w:lang w:val="en-US" w:eastAsia="zh-CN" w:bidi="ar-SA"/>
        </w:rPr>
        <w:t>（四）项目绩效目标</w:t>
      </w:r>
    </w:p>
    <w:p>
      <w:pPr>
        <w:tabs>
          <w:tab w:val="left" w:pos="3885"/>
        </w:tabs>
        <w:snapToGrid w:val="0"/>
        <w:spacing w:line="600" w:lineRule="exact"/>
        <w:ind w:firstLine="640" w:firstLineChars="200"/>
        <w:jc w:val="left"/>
        <w:rPr>
          <w:rFonts w:hint="eastAsia" w:ascii="仿宋" w:hAnsi="仿宋" w:eastAsia="仿宋" w:cstheme="majorBidi"/>
          <w:b w:val="0"/>
          <w:bCs/>
          <w:color w:val="auto"/>
          <w:kern w:val="2"/>
          <w:sz w:val="32"/>
          <w:szCs w:val="32"/>
          <w:highlight w:val="none"/>
          <w:lang w:val="en-US" w:eastAsia="zh-CN" w:bidi="ar-SA"/>
        </w:rPr>
      </w:pPr>
      <w:r>
        <w:rPr>
          <w:rFonts w:hint="eastAsia" w:ascii="仿宋" w:hAnsi="仿宋" w:eastAsia="仿宋" w:cstheme="majorBidi"/>
          <w:b w:val="0"/>
          <w:bCs/>
          <w:color w:val="auto"/>
          <w:kern w:val="2"/>
          <w:sz w:val="32"/>
          <w:szCs w:val="32"/>
          <w:highlight w:val="none"/>
          <w:lang w:val="en-US" w:eastAsia="zh-CN" w:bidi="ar-SA"/>
        </w:rPr>
        <w:t>对市中心城区管网最新数据进行处理，转换为原数据库匹配的图形数据与属性数据，录入系统管线长度不得低于100Km。与区市政中心联合组织开展遂宁市城区排水防涝应急演练1次，安排三桥库房安排值班值守。</w:t>
      </w:r>
    </w:p>
    <w:p>
      <w:pPr>
        <w:snapToGrid w:val="0"/>
        <w:spacing w:line="600" w:lineRule="exact"/>
        <w:ind w:firstLine="640" w:firstLineChars="200"/>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二、评价工作开展情况</w:t>
      </w:r>
    </w:p>
    <w:p>
      <w:pPr>
        <w:snapToGrid w:val="0"/>
        <w:spacing w:line="600" w:lineRule="exact"/>
        <w:ind w:firstLine="482" w:firstLineChars="150"/>
        <w:rPr>
          <w:rFonts w:hint="eastAsia" w:ascii="仿宋" w:hAnsi="仿宋" w:eastAsia="仿宋" w:cstheme="majorBidi"/>
          <w:b/>
          <w:bCs w:val="0"/>
          <w:color w:val="auto"/>
          <w:kern w:val="2"/>
          <w:sz w:val="32"/>
          <w:szCs w:val="32"/>
          <w:highlight w:val="none"/>
          <w:lang w:val="en-US" w:eastAsia="zh-CN" w:bidi="ar-SA"/>
        </w:rPr>
      </w:pPr>
      <w:r>
        <w:rPr>
          <w:rFonts w:hint="eastAsia" w:ascii="仿宋" w:hAnsi="仿宋" w:eastAsia="仿宋" w:cstheme="majorBidi"/>
          <w:b/>
          <w:bCs w:val="0"/>
          <w:color w:val="auto"/>
          <w:kern w:val="2"/>
          <w:sz w:val="32"/>
          <w:szCs w:val="32"/>
          <w:highlight w:val="none"/>
          <w:lang w:val="en-US" w:eastAsia="zh-CN" w:bidi="ar-SA"/>
        </w:rPr>
        <w:t>（一）评价组织情况</w:t>
      </w:r>
    </w:p>
    <w:p>
      <w:pPr>
        <w:snapToGrid w:val="0"/>
        <w:spacing w:line="600" w:lineRule="exact"/>
        <w:ind w:firstLine="640" w:firstLineChars="200"/>
        <w:rPr>
          <w:rFonts w:hint="eastAsia" w:ascii="仿宋" w:hAnsi="仿宋" w:eastAsia="仿宋" w:cstheme="majorBidi"/>
          <w:b w:val="0"/>
          <w:bCs/>
          <w:color w:val="auto"/>
          <w:kern w:val="2"/>
          <w:sz w:val="32"/>
          <w:szCs w:val="32"/>
          <w:highlight w:val="none"/>
          <w:lang w:val="en-US" w:eastAsia="zh-CN" w:bidi="ar-SA"/>
        </w:rPr>
      </w:pPr>
      <w:r>
        <w:rPr>
          <w:rFonts w:hint="eastAsia" w:ascii="仿宋" w:hAnsi="仿宋" w:eastAsia="仿宋" w:cstheme="majorBidi"/>
          <w:b w:val="0"/>
          <w:bCs/>
          <w:color w:val="auto"/>
          <w:kern w:val="2"/>
          <w:sz w:val="32"/>
          <w:szCs w:val="32"/>
          <w:highlight w:val="none"/>
          <w:lang w:val="en-US" w:eastAsia="zh-CN" w:bidi="ar-SA"/>
        </w:rPr>
        <w:t>为进一步规范项目预算支出管理，牢固树立绩效理念，切实提高资金使用效益，按照市财政局工作要求，2021年我中心绩效评价工作经领导批示由综合办公室组织开展相关工作，各项目负责科室积极配合。查阅相关文件资料和财务凭证，对收集资料进行定量定性分析，综合评议后形成评价结论，出具绩效自评报告。</w:t>
      </w:r>
    </w:p>
    <w:p>
      <w:pPr>
        <w:snapToGrid w:val="0"/>
        <w:spacing w:line="600" w:lineRule="exact"/>
        <w:ind w:firstLine="643" w:firstLineChars="200"/>
        <w:rPr>
          <w:rFonts w:hint="eastAsia" w:ascii="仿宋" w:hAnsi="仿宋" w:eastAsia="仿宋" w:cstheme="majorBidi"/>
          <w:b/>
          <w:bCs w:val="0"/>
          <w:color w:val="auto"/>
          <w:kern w:val="2"/>
          <w:sz w:val="32"/>
          <w:szCs w:val="32"/>
          <w:highlight w:val="none"/>
          <w:lang w:val="en-US" w:eastAsia="zh-CN" w:bidi="ar-SA"/>
        </w:rPr>
      </w:pPr>
      <w:r>
        <w:rPr>
          <w:rFonts w:hint="eastAsia" w:ascii="仿宋" w:hAnsi="仿宋" w:eastAsia="仿宋" w:cstheme="majorBidi"/>
          <w:b/>
          <w:bCs w:val="0"/>
          <w:color w:val="auto"/>
          <w:kern w:val="2"/>
          <w:sz w:val="32"/>
          <w:szCs w:val="32"/>
          <w:highlight w:val="none"/>
          <w:lang w:val="en-US" w:eastAsia="zh-CN" w:bidi="ar-SA"/>
        </w:rPr>
        <w:t>（二）评价指标体系</w:t>
      </w:r>
    </w:p>
    <w:p>
      <w:pPr>
        <w:snapToGrid w:val="0"/>
        <w:spacing w:line="600" w:lineRule="exact"/>
        <w:ind w:firstLine="640" w:firstLineChars="200"/>
        <w:rPr>
          <w:rFonts w:hint="eastAsia" w:ascii="仿宋" w:hAnsi="仿宋" w:eastAsia="仿宋" w:cstheme="majorBidi"/>
          <w:b w:val="0"/>
          <w:bCs/>
          <w:color w:val="auto"/>
          <w:kern w:val="2"/>
          <w:sz w:val="32"/>
          <w:szCs w:val="32"/>
          <w:highlight w:val="none"/>
          <w:lang w:val="en-US" w:eastAsia="zh-CN" w:bidi="ar-SA"/>
        </w:rPr>
      </w:pPr>
      <w:r>
        <w:rPr>
          <w:rFonts w:hint="eastAsia" w:ascii="仿宋" w:hAnsi="仿宋" w:eastAsia="仿宋" w:cstheme="majorBidi"/>
          <w:b w:val="0"/>
          <w:bCs/>
          <w:color w:val="auto"/>
          <w:kern w:val="2"/>
          <w:sz w:val="32"/>
          <w:szCs w:val="32"/>
          <w:highlight w:val="none"/>
          <w:lang w:val="en-US" w:eastAsia="zh-CN" w:bidi="ar-SA"/>
        </w:rPr>
        <w:t>评价指标体系，主要包括项目资金执行、项目决策、项目实施、年度总体目标、绩效指标五个方面，满分为100分。一是项目资金执行（6分），主要评价全年资金执行情况。二是项目决策（6分），主要评价项目程序严密性，项目规划是否合理 。三是项目实施（8分），主要评价资金分配是否合理，使用是否合规，执行是否有效。四是绩效指标情况（70分），主要评价项目的质量效益、社会效益、生态效益等。五是满意度（10分），主要评价群众对项目的满意度。</w:t>
      </w:r>
    </w:p>
    <w:p>
      <w:pPr>
        <w:snapToGrid w:val="0"/>
        <w:spacing w:line="600" w:lineRule="exact"/>
        <w:ind w:firstLine="643" w:firstLineChars="200"/>
        <w:rPr>
          <w:rFonts w:hint="eastAsia" w:ascii="仿宋" w:hAnsi="仿宋" w:eastAsia="仿宋" w:cstheme="majorBidi"/>
          <w:b/>
          <w:bCs w:val="0"/>
          <w:color w:val="auto"/>
          <w:kern w:val="2"/>
          <w:sz w:val="32"/>
          <w:szCs w:val="32"/>
          <w:highlight w:val="none"/>
          <w:lang w:val="en-US" w:eastAsia="zh-CN" w:bidi="ar-SA"/>
        </w:rPr>
      </w:pPr>
      <w:r>
        <w:rPr>
          <w:rFonts w:hint="eastAsia" w:ascii="仿宋" w:hAnsi="仿宋" w:eastAsia="仿宋" w:cstheme="majorBidi"/>
          <w:b/>
          <w:bCs w:val="0"/>
          <w:color w:val="auto"/>
          <w:kern w:val="2"/>
          <w:sz w:val="32"/>
          <w:szCs w:val="32"/>
          <w:highlight w:val="none"/>
          <w:lang w:val="en-US" w:eastAsia="zh-CN" w:bidi="ar-SA"/>
        </w:rPr>
        <w:t>（三）评价方法和标准</w:t>
      </w:r>
    </w:p>
    <w:p>
      <w:pPr>
        <w:snapToGrid w:val="0"/>
        <w:spacing w:line="600" w:lineRule="exact"/>
        <w:ind w:firstLine="640" w:firstLineChars="200"/>
        <w:rPr>
          <w:rFonts w:hint="eastAsia" w:ascii="仿宋" w:hAnsi="仿宋" w:eastAsia="仿宋" w:cstheme="majorBidi"/>
          <w:b w:val="0"/>
          <w:bCs/>
          <w:color w:val="auto"/>
          <w:kern w:val="2"/>
          <w:sz w:val="32"/>
          <w:szCs w:val="32"/>
          <w:highlight w:val="none"/>
          <w:lang w:val="en-US" w:eastAsia="zh-CN" w:bidi="ar-SA"/>
        </w:rPr>
      </w:pPr>
      <w:r>
        <w:rPr>
          <w:rFonts w:hint="eastAsia" w:ascii="仿宋" w:hAnsi="仿宋" w:eastAsia="仿宋" w:cstheme="majorBidi"/>
          <w:b w:val="0"/>
          <w:bCs/>
          <w:color w:val="auto"/>
          <w:kern w:val="2"/>
          <w:sz w:val="32"/>
          <w:szCs w:val="32"/>
          <w:highlight w:val="none"/>
          <w:lang w:val="en-US" w:eastAsia="zh-CN" w:bidi="ar-SA"/>
        </w:rPr>
        <w:t>我中心针对2021年遂宁市住房和城乡建设事务中心日常维修维护管理项目，本次评价坚持“以问题为导向、坚持综合、全面的评价”为总体工作思路，运用经验分析法、同类比较法、因素分析等方法开展自评工作。</w:t>
      </w:r>
    </w:p>
    <w:p>
      <w:pPr>
        <w:snapToGrid w:val="0"/>
        <w:spacing w:line="600" w:lineRule="exact"/>
        <w:ind w:firstLine="640" w:firstLineChars="200"/>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三、综合评价结论</w:t>
      </w:r>
    </w:p>
    <w:p>
      <w:pPr>
        <w:snapToGrid w:val="0"/>
        <w:spacing w:line="600" w:lineRule="exact"/>
        <w:ind w:firstLine="640" w:firstLineChars="200"/>
        <w:rPr>
          <w:rFonts w:hint="eastAsia" w:ascii="仿宋" w:hAnsi="仿宋" w:eastAsia="仿宋" w:cstheme="majorBidi"/>
          <w:b w:val="0"/>
          <w:bCs/>
          <w:color w:val="auto"/>
          <w:kern w:val="2"/>
          <w:sz w:val="32"/>
          <w:szCs w:val="32"/>
          <w:highlight w:val="none"/>
          <w:lang w:val="en-US" w:eastAsia="zh-CN" w:bidi="ar-SA"/>
        </w:rPr>
      </w:pPr>
      <w:r>
        <w:rPr>
          <w:rFonts w:hint="eastAsia" w:ascii="仿宋" w:hAnsi="仿宋" w:eastAsia="仿宋" w:cstheme="majorBidi"/>
          <w:b w:val="0"/>
          <w:bCs/>
          <w:color w:val="auto"/>
          <w:kern w:val="2"/>
          <w:sz w:val="32"/>
          <w:szCs w:val="32"/>
          <w:highlight w:val="none"/>
          <w:lang w:val="en-US" w:eastAsia="zh-CN" w:bidi="ar-SA"/>
        </w:rPr>
        <w:t>综合得分92.46分，本项目通过地下管网数据更新技术服务项目能更好了解地下管线信息，满足日常统筹施工、地下雨污管网维护需要；安排三桥库房安排值班值守，防止国有资产丢失；进行排水防涝应急演练，保障了市政排水防涝应急工作的顺利开展，提高了城市形象，为绿色照明、文明城市起到了积极的作用。</w:t>
      </w:r>
    </w:p>
    <w:p>
      <w:pPr>
        <w:snapToGrid w:val="0"/>
        <w:spacing w:line="600" w:lineRule="exact"/>
        <w:ind w:firstLine="640" w:firstLineChars="200"/>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四、绩效评价分析</w:t>
      </w:r>
    </w:p>
    <w:p>
      <w:pPr>
        <w:snapToGrid w:val="0"/>
        <w:spacing w:line="600" w:lineRule="exact"/>
        <w:ind w:firstLine="643" w:firstLineChars="200"/>
        <w:rPr>
          <w:rFonts w:hint="eastAsia" w:ascii="仿宋" w:hAnsi="仿宋" w:eastAsia="仿宋" w:cstheme="majorBidi"/>
          <w:b/>
          <w:bCs w:val="0"/>
          <w:color w:val="auto"/>
          <w:kern w:val="2"/>
          <w:sz w:val="32"/>
          <w:szCs w:val="32"/>
          <w:highlight w:val="none"/>
          <w:lang w:val="en-US" w:eastAsia="zh-CN" w:bidi="ar-SA"/>
        </w:rPr>
      </w:pPr>
      <w:r>
        <w:rPr>
          <w:rFonts w:hint="eastAsia" w:ascii="仿宋" w:hAnsi="仿宋" w:eastAsia="仿宋" w:cstheme="majorBidi"/>
          <w:b/>
          <w:bCs w:val="0"/>
          <w:color w:val="auto"/>
          <w:kern w:val="2"/>
          <w:sz w:val="32"/>
          <w:szCs w:val="32"/>
          <w:highlight w:val="none"/>
          <w:lang w:val="en-US" w:eastAsia="zh-CN" w:bidi="ar-SA"/>
        </w:rPr>
        <w:t>（一）项目决策情况</w:t>
      </w:r>
    </w:p>
    <w:p>
      <w:pPr>
        <w:snapToGrid w:val="0"/>
        <w:spacing w:line="600" w:lineRule="exact"/>
        <w:ind w:firstLine="640" w:firstLineChars="200"/>
        <w:rPr>
          <w:rFonts w:hint="eastAsia" w:ascii="仿宋" w:hAnsi="仿宋" w:eastAsia="仿宋" w:cstheme="majorBidi"/>
          <w:b w:val="0"/>
          <w:bCs/>
          <w:color w:val="auto"/>
          <w:kern w:val="2"/>
          <w:sz w:val="32"/>
          <w:szCs w:val="32"/>
          <w:highlight w:val="none"/>
          <w:lang w:val="en-US" w:eastAsia="zh-CN" w:bidi="ar-SA"/>
        </w:rPr>
      </w:pPr>
      <w:r>
        <w:rPr>
          <w:rFonts w:hint="eastAsia" w:ascii="仿宋" w:hAnsi="仿宋" w:eastAsia="仿宋" w:cstheme="majorBidi"/>
          <w:b w:val="0"/>
          <w:bCs/>
          <w:color w:val="auto"/>
          <w:kern w:val="2"/>
          <w:sz w:val="32"/>
          <w:szCs w:val="32"/>
          <w:highlight w:val="none"/>
          <w:lang w:val="en-US" w:eastAsia="zh-CN" w:bidi="ar-SA"/>
        </w:rPr>
        <w:t>根据工作任务及职能职责，每年提前制定项目实施方案，提出预算资金申请，报中心主任办公扩大会审核确定，由财务人员汇总上报市住建局计财科，通过局党组会审核确定，由局计财科统一上报市财政局.</w:t>
      </w:r>
    </w:p>
    <w:p>
      <w:pPr>
        <w:snapToGrid w:val="0"/>
        <w:spacing w:line="600" w:lineRule="exact"/>
        <w:ind w:firstLine="643" w:firstLineChars="200"/>
        <w:rPr>
          <w:rFonts w:hint="eastAsia" w:ascii="仿宋" w:hAnsi="仿宋" w:eastAsia="仿宋" w:cstheme="majorBidi"/>
          <w:b/>
          <w:bCs w:val="0"/>
          <w:color w:val="auto"/>
          <w:kern w:val="2"/>
          <w:sz w:val="32"/>
          <w:szCs w:val="32"/>
          <w:highlight w:val="none"/>
          <w:lang w:val="en-US" w:eastAsia="zh-CN" w:bidi="ar-SA"/>
        </w:rPr>
      </w:pPr>
      <w:r>
        <w:rPr>
          <w:rFonts w:hint="eastAsia" w:ascii="仿宋" w:hAnsi="仿宋" w:eastAsia="仿宋" w:cstheme="majorBidi"/>
          <w:b/>
          <w:bCs w:val="0"/>
          <w:color w:val="auto"/>
          <w:kern w:val="2"/>
          <w:sz w:val="32"/>
          <w:szCs w:val="32"/>
          <w:highlight w:val="none"/>
          <w:lang w:val="en-US" w:eastAsia="zh-CN" w:bidi="ar-SA"/>
        </w:rPr>
        <w:t>（二）项目管理情况</w:t>
      </w:r>
    </w:p>
    <w:p>
      <w:pPr>
        <w:snapToGrid w:val="0"/>
        <w:spacing w:line="600" w:lineRule="exact"/>
        <w:ind w:firstLine="640" w:firstLineChars="200"/>
        <w:rPr>
          <w:rFonts w:hint="eastAsia" w:ascii="仿宋" w:hAnsi="仿宋" w:eastAsia="仿宋" w:cstheme="majorBidi"/>
          <w:b w:val="0"/>
          <w:bCs/>
          <w:color w:val="auto"/>
          <w:kern w:val="2"/>
          <w:sz w:val="32"/>
          <w:szCs w:val="32"/>
          <w:highlight w:val="none"/>
          <w:lang w:val="en-US" w:eastAsia="zh-CN" w:bidi="ar-SA"/>
        </w:rPr>
      </w:pPr>
      <w:r>
        <w:rPr>
          <w:rFonts w:hint="eastAsia" w:ascii="仿宋" w:hAnsi="仿宋" w:eastAsia="仿宋" w:cstheme="majorBidi"/>
          <w:b w:val="0"/>
          <w:bCs/>
          <w:color w:val="auto"/>
          <w:kern w:val="2"/>
          <w:sz w:val="32"/>
          <w:szCs w:val="32"/>
          <w:highlight w:val="none"/>
          <w:lang w:val="en-US" w:eastAsia="zh-CN" w:bidi="ar-SA"/>
        </w:rPr>
        <w:t>对项目管理坚持实事求是，客观公正， 财务管理制度健全，执行制度严格合规，资金专款专用，资金支付依据和开支标准合法合规，严格按预算项目内容支出，未改变用途，账目清楚，资金使用效益高。</w:t>
      </w:r>
    </w:p>
    <w:p>
      <w:pPr>
        <w:snapToGrid w:val="0"/>
        <w:spacing w:line="600" w:lineRule="exact"/>
        <w:ind w:firstLine="643" w:firstLineChars="200"/>
        <w:rPr>
          <w:rFonts w:hint="eastAsia" w:ascii="仿宋" w:hAnsi="仿宋" w:eastAsia="仿宋" w:cstheme="majorBidi"/>
          <w:b/>
          <w:bCs w:val="0"/>
          <w:color w:val="auto"/>
          <w:kern w:val="2"/>
          <w:sz w:val="32"/>
          <w:szCs w:val="32"/>
          <w:highlight w:val="none"/>
          <w:lang w:val="en-US" w:eastAsia="zh-CN" w:bidi="ar-SA"/>
        </w:rPr>
      </w:pPr>
      <w:r>
        <w:rPr>
          <w:rFonts w:hint="eastAsia" w:ascii="仿宋" w:hAnsi="仿宋" w:eastAsia="仿宋" w:cstheme="majorBidi"/>
          <w:b/>
          <w:bCs w:val="0"/>
          <w:color w:val="auto"/>
          <w:kern w:val="2"/>
          <w:sz w:val="32"/>
          <w:szCs w:val="32"/>
          <w:highlight w:val="none"/>
          <w:lang w:val="en-US" w:eastAsia="zh-CN" w:bidi="ar-SA"/>
        </w:rPr>
        <w:t>（三）项目产出情况</w:t>
      </w:r>
    </w:p>
    <w:p>
      <w:pPr>
        <w:snapToGrid w:val="0"/>
        <w:spacing w:line="600" w:lineRule="exact"/>
        <w:ind w:firstLine="640" w:firstLineChars="200"/>
        <w:rPr>
          <w:rFonts w:hint="eastAsia" w:ascii="仿宋" w:hAnsi="仿宋" w:eastAsia="仿宋" w:cstheme="majorBidi"/>
          <w:b w:val="0"/>
          <w:bCs/>
          <w:color w:val="auto"/>
          <w:kern w:val="2"/>
          <w:sz w:val="32"/>
          <w:szCs w:val="32"/>
          <w:highlight w:val="none"/>
          <w:lang w:val="en-US" w:eastAsia="zh-CN" w:bidi="ar-SA"/>
        </w:rPr>
      </w:pPr>
      <w:r>
        <w:rPr>
          <w:rFonts w:hint="eastAsia" w:ascii="仿宋" w:hAnsi="仿宋" w:eastAsia="仿宋" w:cstheme="majorBidi"/>
          <w:b w:val="0"/>
          <w:bCs/>
          <w:color w:val="auto"/>
          <w:kern w:val="2"/>
          <w:sz w:val="32"/>
          <w:szCs w:val="32"/>
          <w:highlight w:val="none"/>
          <w:lang w:val="en-US" w:eastAsia="zh-CN" w:bidi="ar-SA"/>
        </w:rPr>
        <w:t>完成中心城区地下管线信息系统数据更新，组织开展遂宁市城区排水防涝应急演练1次，安排三桥库房值班值守。</w:t>
      </w:r>
    </w:p>
    <w:p>
      <w:pPr>
        <w:pStyle w:val="24"/>
        <w:numPr>
          <w:ilvl w:val="0"/>
          <w:numId w:val="0"/>
        </w:numPr>
        <w:snapToGrid w:val="0"/>
        <w:spacing w:line="600" w:lineRule="exact"/>
        <w:ind w:left="643" w:leftChars="0"/>
        <w:rPr>
          <w:rFonts w:hint="eastAsia" w:ascii="仿宋" w:hAnsi="仿宋" w:eastAsia="仿宋" w:cstheme="majorBidi"/>
          <w:b/>
          <w:bCs w:val="0"/>
          <w:color w:val="auto"/>
          <w:kern w:val="2"/>
          <w:sz w:val="32"/>
          <w:szCs w:val="32"/>
          <w:highlight w:val="none"/>
          <w:lang w:val="en-US" w:eastAsia="zh-CN" w:bidi="ar-SA"/>
        </w:rPr>
      </w:pPr>
      <w:r>
        <w:rPr>
          <w:rFonts w:hint="eastAsia" w:ascii="仿宋" w:hAnsi="仿宋" w:eastAsia="仿宋" w:cstheme="majorBidi"/>
          <w:b/>
          <w:bCs w:val="0"/>
          <w:color w:val="auto"/>
          <w:kern w:val="2"/>
          <w:sz w:val="32"/>
          <w:szCs w:val="32"/>
          <w:highlight w:val="none"/>
          <w:lang w:val="en-US" w:eastAsia="zh-CN" w:bidi="ar-SA"/>
        </w:rPr>
        <w:t>(四)项目效益情况。</w:t>
      </w:r>
    </w:p>
    <w:p>
      <w:pPr>
        <w:snapToGrid w:val="0"/>
        <w:spacing w:line="600" w:lineRule="exact"/>
        <w:ind w:firstLine="640" w:firstLineChars="200"/>
        <w:rPr>
          <w:rFonts w:hint="eastAsia" w:ascii="仿宋" w:hAnsi="仿宋" w:eastAsia="仿宋" w:cstheme="majorBidi"/>
          <w:b w:val="0"/>
          <w:bCs/>
          <w:color w:val="auto"/>
          <w:kern w:val="2"/>
          <w:sz w:val="32"/>
          <w:szCs w:val="32"/>
          <w:highlight w:val="none"/>
          <w:lang w:val="en-US" w:eastAsia="zh-CN" w:bidi="ar-SA"/>
        </w:rPr>
      </w:pPr>
      <w:r>
        <w:rPr>
          <w:rFonts w:hint="eastAsia" w:ascii="仿宋" w:hAnsi="仿宋" w:eastAsia="仿宋" w:cstheme="majorBidi"/>
          <w:b w:val="0"/>
          <w:bCs/>
          <w:color w:val="auto"/>
          <w:kern w:val="2"/>
          <w:sz w:val="32"/>
          <w:szCs w:val="32"/>
          <w:highlight w:val="none"/>
          <w:lang w:val="en-US" w:eastAsia="zh-CN" w:bidi="ar-SA"/>
        </w:rPr>
        <w:t>通过地下管网数据更新技术服务项目能更好了解地下管线信息，满足日常统筹施工、地下雨污管网维护需要，与区市政中心联合组织开展“2021年遂宁市城区排水防涝应急演练”1次，通过实战加强防汛队伍建设，进一步提升汛期应急处置能力，在三桥库房值班值守，防止国有资产丢失。</w:t>
      </w:r>
    </w:p>
    <w:p>
      <w:pPr>
        <w:snapToGrid w:val="0"/>
        <w:spacing w:line="600" w:lineRule="exact"/>
        <w:ind w:firstLine="640" w:firstLineChars="200"/>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五、存在主要问题</w:t>
      </w:r>
    </w:p>
    <w:p>
      <w:pPr>
        <w:snapToGrid w:val="0"/>
        <w:spacing w:line="600" w:lineRule="exact"/>
        <w:ind w:firstLine="640" w:firstLineChars="200"/>
        <w:rPr>
          <w:rFonts w:hint="eastAsia" w:ascii="仿宋" w:hAnsi="仿宋" w:eastAsia="仿宋" w:cstheme="majorBidi"/>
          <w:b w:val="0"/>
          <w:bCs/>
          <w:color w:val="auto"/>
          <w:kern w:val="2"/>
          <w:sz w:val="32"/>
          <w:szCs w:val="32"/>
          <w:highlight w:val="none"/>
          <w:lang w:val="en-US" w:eastAsia="zh-CN" w:bidi="ar-SA"/>
        </w:rPr>
      </w:pPr>
      <w:r>
        <w:rPr>
          <w:rFonts w:hint="eastAsia" w:ascii="仿宋" w:hAnsi="仿宋" w:eastAsia="仿宋" w:cstheme="majorBidi"/>
          <w:b w:val="0"/>
          <w:bCs/>
          <w:color w:val="auto"/>
          <w:kern w:val="2"/>
          <w:sz w:val="32"/>
          <w:szCs w:val="32"/>
          <w:highlight w:val="none"/>
          <w:lang w:val="en-US" w:eastAsia="zh-CN" w:bidi="ar-SA"/>
        </w:rPr>
        <w:t>因中心城区地下管线信息系统运维费根据合同本年度仅支付50%；原将单独进行防水防涝应急演练，后改为和船山区市政中心联合开展，故经费共同承担；路灯、景观灯集中控制12月份才完成招标，故未发生支出，所以事务中心日常维修维护管理费此项目资金预算执行率较低。</w:t>
      </w:r>
    </w:p>
    <w:p>
      <w:pPr>
        <w:snapToGrid w:val="0"/>
        <w:spacing w:line="600" w:lineRule="exact"/>
        <w:ind w:firstLine="640" w:firstLineChars="200"/>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六、相关措施建议</w:t>
      </w:r>
    </w:p>
    <w:p>
      <w:pPr>
        <w:spacing w:line="600" w:lineRule="exact"/>
        <w:ind w:firstLine="640" w:firstLineChars="200"/>
        <w:jc w:val="both"/>
        <w:outlineLvl w:val="0"/>
        <w:rPr>
          <w:rFonts w:hint="eastAsia" w:ascii="仿宋" w:hAnsi="仿宋" w:eastAsia="仿宋" w:cstheme="majorBidi"/>
          <w:b w:val="0"/>
          <w:bCs/>
          <w:color w:val="auto"/>
          <w:kern w:val="2"/>
          <w:sz w:val="32"/>
          <w:szCs w:val="32"/>
          <w:highlight w:val="none"/>
          <w:lang w:val="en-US" w:eastAsia="zh-CN" w:bidi="ar-SA"/>
        </w:rPr>
      </w:pPr>
      <w:r>
        <w:rPr>
          <w:rFonts w:hint="eastAsia" w:ascii="仿宋" w:hAnsi="仿宋" w:eastAsia="仿宋" w:cstheme="majorBidi"/>
          <w:b w:val="0"/>
          <w:bCs/>
          <w:color w:val="auto"/>
          <w:kern w:val="2"/>
          <w:sz w:val="32"/>
          <w:szCs w:val="32"/>
          <w:highlight w:val="none"/>
          <w:lang w:val="en-US" w:eastAsia="zh-CN" w:bidi="ar-SA"/>
        </w:rPr>
        <w:t xml:space="preserve">加大项目资金预算执行率，及时高效的完成项目，以保障市住房城乡建设事务中心日常工作顺利开展。  </w:t>
      </w:r>
    </w:p>
    <w:p>
      <w:pPr>
        <w:pStyle w:val="6"/>
        <w:rPr>
          <w:rFonts w:hint="eastAsia" w:ascii="仿宋" w:hAnsi="仿宋" w:eastAsia="仿宋" w:cstheme="majorBidi"/>
          <w:b w:val="0"/>
          <w:bCs/>
          <w:color w:val="auto"/>
          <w:kern w:val="2"/>
          <w:sz w:val="32"/>
          <w:szCs w:val="32"/>
          <w:highlight w:val="none"/>
          <w:lang w:val="en-US" w:eastAsia="zh-CN" w:bidi="ar-SA"/>
        </w:rPr>
      </w:pPr>
    </w:p>
    <w:p>
      <w:pPr>
        <w:rPr>
          <w:rFonts w:hint="eastAsia" w:ascii="仿宋" w:hAnsi="仿宋" w:eastAsia="仿宋" w:cstheme="majorBidi"/>
          <w:b w:val="0"/>
          <w:bCs/>
          <w:color w:val="auto"/>
          <w:kern w:val="2"/>
          <w:sz w:val="32"/>
          <w:szCs w:val="32"/>
          <w:highlight w:val="none"/>
          <w:lang w:val="en-US" w:eastAsia="zh-CN" w:bidi="ar-SA"/>
        </w:rPr>
      </w:pPr>
    </w:p>
    <w:p>
      <w:pPr>
        <w:pStyle w:val="6"/>
        <w:rPr>
          <w:rFonts w:hint="eastAsia" w:ascii="仿宋" w:hAnsi="仿宋" w:eastAsia="仿宋" w:cstheme="majorBidi"/>
          <w:b w:val="0"/>
          <w:bCs/>
          <w:color w:val="auto"/>
          <w:kern w:val="2"/>
          <w:sz w:val="32"/>
          <w:szCs w:val="32"/>
          <w:highlight w:val="none"/>
          <w:lang w:val="en-US" w:eastAsia="zh-CN" w:bidi="ar-SA"/>
        </w:rPr>
      </w:pPr>
    </w:p>
    <w:p>
      <w:pPr>
        <w:rPr>
          <w:rFonts w:hint="eastAsia" w:ascii="仿宋" w:hAnsi="仿宋" w:eastAsia="仿宋" w:cstheme="majorBidi"/>
          <w:b w:val="0"/>
          <w:bCs/>
          <w:color w:val="auto"/>
          <w:kern w:val="2"/>
          <w:sz w:val="32"/>
          <w:szCs w:val="32"/>
          <w:highlight w:val="none"/>
          <w:lang w:val="en-US" w:eastAsia="zh-CN" w:bidi="ar-SA"/>
        </w:rPr>
      </w:pPr>
    </w:p>
    <w:p>
      <w:pPr>
        <w:pStyle w:val="6"/>
        <w:rPr>
          <w:rFonts w:hint="eastAsia" w:ascii="仿宋" w:hAnsi="仿宋" w:eastAsia="仿宋" w:cstheme="majorBidi"/>
          <w:b w:val="0"/>
          <w:bCs/>
          <w:color w:val="auto"/>
          <w:kern w:val="2"/>
          <w:sz w:val="32"/>
          <w:szCs w:val="32"/>
          <w:highlight w:val="none"/>
          <w:lang w:val="en-US" w:eastAsia="zh-CN" w:bidi="ar-SA"/>
        </w:rPr>
      </w:pPr>
    </w:p>
    <w:p>
      <w:pPr>
        <w:rPr>
          <w:rFonts w:hint="eastAsia"/>
          <w:lang w:val="en-US" w:eastAsia="zh-CN"/>
        </w:rPr>
      </w:pPr>
    </w:p>
    <w:p>
      <w:pPr>
        <w:pStyle w:val="2"/>
        <w:rPr>
          <w:rFonts w:hint="default"/>
          <w:lang w:val="en-US" w:eastAsia="zh-CN"/>
        </w:rPr>
      </w:pPr>
    </w:p>
    <w:tbl>
      <w:tblPr>
        <w:tblStyle w:val="14"/>
        <w:tblpPr w:leftFromText="180" w:rightFromText="180" w:vertAnchor="text" w:horzAnchor="page" w:tblpX="1285" w:tblpY="3"/>
        <w:tblOverlap w:val="never"/>
        <w:tblW w:w="99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75"/>
        <w:gridCol w:w="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675" w:type="dxa"/>
            <w:tcBorders>
              <w:top w:val="nil"/>
              <w:left w:val="nil"/>
              <w:bottom w:val="nil"/>
              <w:right w:val="nil"/>
            </w:tcBorders>
            <w:shd w:val="clear" w:color="auto" w:fill="auto"/>
            <w:vAlign w:val="center"/>
          </w:tcPr>
          <w:p>
            <w:pPr>
              <w:keepNext w:val="0"/>
              <w:keepLines w:val="0"/>
              <w:widowControl/>
              <w:suppressLineNumbers w:val="0"/>
              <w:spacing w:beforeAutospacing="0"/>
              <w:ind w:firstLine="643" w:firstLineChars="200"/>
              <w:jc w:val="both"/>
              <w:textAlignment w:val="center"/>
              <w:rPr>
                <w:rFonts w:hint="eastAsia" w:ascii="宋体" w:hAnsi="宋体" w:eastAsia="宋体" w:cs="宋体"/>
                <w:b/>
                <w:i w:val="0"/>
                <w:color w:val="auto"/>
                <w:sz w:val="32"/>
                <w:szCs w:val="32"/>
                <w:u w:val="none"/>
              </w:rPr>
            </w:pPr>
          </w:p>
        </w:tc>
        <w:tc>
          <w:tcPr>
            <w:tcW w:w="23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9675" w:type="dxa"/>
            <w:tcBorders>
              <w:top w:val="nil"/>
              <w:left w:val="nil"/>
              <w:bottom w:val="nil"/>
              <w:right w:val="nil"/>
            </w:tcBorders>
            <w:shd w:val="clear" w:color="auto" w:fill="auto"/>
            <w:vAlign w:val="center"/>
          </w:tcPr>
          <w:p>
            <w:pPr>
              <w:keepNext w:val="0"/>
              <w:keepLines w:val="0"/>
              <w:widowControl/>
              <w:suppressLineNumbers w:val="0"/>
              <w:spacing w:beforeAutospacing="0"/>
              <w:ind w:firstLine="643" w:firstLineChars="200"/>
              <w:jc w:val="both"/>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u w:val="none"/>
                <w:lang w:val="en-US" w:eastAsia="zh-CN"/>
              </w:rPr>
              <w:t>2021年事务中心日常维修维护管理费项目绩效目标自评</w:t>
            </w:r>
          </w:p>
        </w:tc>
        <w:tc>
          <w:tcPr>
            <w:tcW w:w="23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bl>
    <w:tbl>
      <w:tblPr>
        <w:tblStyle w:val="14"/>
        <w:tblpPr w:leftFromText="180" w:rightFromText="180" w:vertAnchor="text" w:horzAnchor="page" w:tblpX="1281" w:tblpY="660"/>
        <w:tblOverlap w:val="never"/>
        <w:tblW w:w="97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9"/>
        <w:gridCol w:w="735"/>
        <w:gridCol w:w="1845"/>
        <w:gridCol w:w="2144"/>
        <w:gridCol w:w="1906"/>
        <w:gridCol w:w="1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1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主管部门及代码</w:t>
            </w:r>
          </w:p>
        </w:tc>
        <w:tc>
          <w:tcPr>
            <w:tcW w:w="3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遂宁市住房和城乡建设局</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实施单位</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遂宁市住房城乡建设事务中心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9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（万元）</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 xml:space="preserve"> 预算数：</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93.98</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 xml:space="preserve"> 执行数：</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28.07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9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财政拨款</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93.98</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财政拨款</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28.07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19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其他资金</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其他资金</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完成情况</w:t>
            </w:r>
          </w:p>
        </w:tc>
        <w:tc>
          <w:tcPr>
            <w:tcW w:w="4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预期目标</w:t>
            </w:r>
          </w:p>
        </w:tc>
        <w:tc>
          <w:tcPr>
            <w:tcW w:w="3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p>
        </w:tc>
        <w:tc>
          <w:tcPr>
            <w:tcW w:w="472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对市中心城区管网最新数据进行处理，转换为原数据库匹配的图形数据与属性数据，录入系统管线长度不得低于100Km。与区市政中心联合组织开展遂宁市城区排水防涝应急演练1次，安排三桥库房安排值班值守。</w:t>
            </w:r>
          </w:p>
        </w:tc>
        <w:tc>
          <w:tcPr>
            <w:tcW w:w="381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本项目通过地下管网数据更新技术服务项目能更好了解地下管线信息，满足日常统筹施工、地下雨污管网维护需要；安排三桥库房安排值班值守，防止国有资产丢失；进行排水防涝应急演练，保障了市政排水防涝应急工作的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121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年度绩效指标完成情况</w:t>
            </w:r>
          </w:p>
        </w:tc>
        <w:tc>
          <w:tcPr>
            <w:tcW w:w="7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指标</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指标</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预期指标值</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121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p>
        </w:tc>
        <w:tc>
          <w:tcPr>
            <w:tcW w:w="73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指标</w:t>
            </w:r>
          </w:p>
        </w:tc>
        <w:tc>
          <w:tcPr>
            <w:tcW w:w="184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数量指标</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目标产出指标</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10项</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21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p>
        </w:tc>
        <w:tc>
          <w:tcPr>
            <w:tcW w:w="73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p>
        </w:tc>
        <w:tc>
          <w:tcPr>
            <w:tcW w:w="184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质量指标</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严格按合同要求进行考核</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严格按合同要求对实施子项目进行绩效考核</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根据完成数量进行考核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21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p>
        </w:tc>
        <w:tc>
          <w:tcPr>
            <w:tcW w:w="73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时效指标</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年度内完成</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2021年</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21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p>
        </w:tc>
        <w:tc>
          <w:tcPr>
            <w:tcW w:w="735"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成本指标</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严格控制费用支出</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根据合同约定在预算内执行</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在合同约定预算内执行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21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社会效益指标</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管网、防洪排涝工作正常运行</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有效</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trPr>
        <w:tc>
          <w:tcPr>
            <w:tcW w:w="121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度指标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指标</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服务对象满意度</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不低于90%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让服务的对象满意度至少在百分之90以上</w:t>
            </w:r>
          </w:p>
        </w:tc>
      </w:tr>
    </w:tbl>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五部分 附表</w:t>
      </w:r>
      <w:bookmarkEnd w:id="51"/>
      <w:bookmarkEnd w:id="58"/>
      <w:bookmarkStart w:id="59"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6"/>
          <w:rFonts w:hint="eastAsia" w:ascii="仿宋" w:hAnsi="仿宋" w:eastAsia="仿宋"/>
          <w:b w:val="0"/>
          <w:bCs w:val="0"/>
          <w:color w:val="auto"/>
          <w:highlight w:val="none"/>
        </w:rPr>
        <w:t>入支出决算总表</w:t>
      </w:r>
      <w:bookmarkEnd w:id="59"/>
    </w:p>
    <w:p>
      <w:pPr>
        <w:pStyle w:val="4"/>
        <w:rPr>
          <w:rFonts w:ascii="仿宋" w:hAnsi="仿宋" w:eastAsia="仿宋"/>
          <w:color w:val="auto"/>
          <w:highlight w:val="none"/>
        </w:rPr>
      </w:pPr>
      <w:bookmarkStart w:id="60" w:name="_Toc15396620"/>
      <w:r>
        <w:rPr>
          <w:rFonts w:hint="eastAsia" w:ascii="仿宋" w:hAnsi="仿宋" w:eastAsia="仿宋"/>
          <w:b w:val="0"/>
          <w:color w:val="auto"/>
          <w:highlight w:val="none"/>
        </w:rPr>
        <w:t>二、收</w:t>
      </w:r>
      <w:r>
        <w:rPr>
          <w:rStyle w:val="26"/>
          <w:rFonts w:hint="eastAsia" w:ascii="仿宋" w:hAnsi="仿宋" w:eastAsia="仿宋"/>
          <w:b w:val="0"/>
          <w:bCs w:val="0"/>
          <w:color w:val="auto"/>
          <w:highlight w:val="none"/>
        </w:rPr>
        <w:t>入决算表</w:t>
      </w:r>
      <w:bookmarkEnd w:id="60"/>
    </w:p>
    <w:p>
      <w:pPr>
        <w:pStyle w:val="4"/>
        <w:rPr>
          <w:rFonts w:ascii="仿宋" w:hAnsi="仿宋" w:eastAsia="仿宋"/>
          <w:color w:val="auto"/>
          <w:highlight w:val="none"/>
        </w:rPr>
      </w:pPr>
      <w:bookmarkStart w:id="61" w:name="_Toc15396621"/>
      <w:r>
        <w:rPr>
          <w:rStyle w:val="26"/>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6"/>
          <w:rFonts w:hint="eastAsia" w:ascii="仿宋" w:hAnsi="仿宋" w:eastAsia="仿宋"/>
          <w:b w:val="0"/>
          <w:bCs w:val="0"/>
          <w:color w:val="auto"/>
          <w:highlight w:val="none"/>
        </w:rPr>
        <w:t>出决算表</w:t>
      </w:r>
      <w:bookmarkEnd w:id="61"/>
    </w:p>
    <w:p>
      <w:pPr>
        <w:pStyle w:val="4"/>
        <w:rPr>
          <w:rFonts w:ascii="仿宋" w:hAnsi="仿宋" w:eastAsia="仿宋"/>
          <w:b w:val="0"/>
          <w:color w:val="auto"/>
          <w:highlight w:val="none"/>
        </w:rPr>
      </w:pPr>
      <w:bookmarkStart w:id="62" w:name="_Toc15396622"/>
      <w:r>
        <w:rPr>
          <w:rStyle w:val="26"/>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政拨款收入支出决算总表</w:t>
      </w:r>
      <w:bookmarkEnd w:id="62"/>
    </w:p>
    <w:p>
      <w:pPr>
        <w:pStyle w:val="4"/>
        <w:rPr>
          <w:rStyle w:val="26"/>
          <w:rFonts w:ascii="仿宋" w:hAnsi="仿宋" w:eastAsia="仿宋"/>
          <w:b w:val="0"/>
          <w:bCs w:val="0"/>
          <w:color w:val="auto"/>
          <w:highlight w:val="none"/>
        </w:rPr>
      </w:pPr>
      <w:bookmarkStart w:id="63" w:name="_Toc15396623"/>
      <w:r>
        <w:rPr>
          <w:rStyle w:val="26"/>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政拨款支出决算明细表</w:t>
      </w:r>
      <w:bookmarkEnd w:id="63"/>
      <w:bookmarkStart w:id="64" w:name="_Toc15396624"/>
    </w:p>
    <w:p>
      <w:pPr>
        <w:pStyle w:val="4"/>
        <w:rPr>
          <w:rFonts w:ascii="仿宋" w:hAnsi="仿宋" w:eastAsia="仿宋"/>
          <w:color w:val="auto"/>
          <w:highlight w:val="none"/>
        </w:rPr>
      </w:pPr>
      <w:r>
        <w:rPr>
          <w:rStyle w:val="26"/>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般公共预算财政拨款支出决算表</w:t>
      </w:r>
      <w:bookmarkEnd w:id="64"/>
    </w:p>
    <w:p>
      <w:pPr>
        <w:pStyle w:val="4"/>
        <w:rPr>
          <w:rFonts w:ascii="仿宋" w:hAnsi="仿宋" w:eastAsia="仿宋"/>
          <w:color w:val="auto"/>
          <w:highlight w:val="none"/>
        </w:rPr>
      </w:pPr>
      <w:bookmarkStart w:id="65" w:name="_Toc15396625"/>
      <w:r>
        <w:rPr>
          <w:rStyle w:val="26"/>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般公共预算财政拨款支出决算明细表</w:t>
      </w:r>
      <w:bookmarkEnd w:id="65"/>
    </w:p>
    <w:p>
      <w:pPr>
        <w:pStyle w:val="4"/>
        <w:rPr>
          <w:rFonts w:ascii="仿宋" w:hAnsi="仿宋" w:eastAsia="仿宋"/>
          <w:color w:val="auto"/>
          <w:highlight w:val="none"/>
        </w:rPr>
      </w:pPr>
      <w:bookmarkStart w:id="66" w:name="_Toc15396626"/>
      <w:r>
        <w:rPr>
          <w:rStyle w:val="26"/>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般公共预算财政拨款基本支出决算表</w:t>
      </w:r>
      <w:bookmarkEnd w:id="66"/>
    </w:p>
    <w:p>
      <w:pPr>
        <w:pStyle w:val="4"/>
        <w:rPr>
          <w:rFonts w:ascii="仿宋" w:hAnsi="仿宋" w:eastAsia="仿宋"/>
          <w:color w:val="auto"/>
          <w:highlight w:val="none"/>
        </w:rPr>
      </w:pPr>
      <w:bookmarkStart w:id="67" w:name="_Toc15396627"/>
      <w:r>
        <w:rPr>
          <w:rStyle w:val="26"/>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般公共预算财政拨款项目支出决算表</w:t>
      </w:r>
      <w:bookmarkEnd w:id="67"/>
    </w:p>
    <w:p>
      <w:pPr>
        <w:pStyle w:val="4"/>
        <w:rPr>
          <w:rFonts w:ascii="仿宋" w:hAnsi="仿宋" w:eastAsia="仿宋"/>
          <w:color w:val="auto"/>
          <w:highlight w:val="none"/>
        </w:rPr>
      </w:pPr>
      <w:bookmarkStart w:id="68" w:name="_Toc15396628"/>
      <w:r>
        <w:rPr>
          <w:rStyle w:val="26"/>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般公共预算财政拨款“三公”经费支出决算表</w:t>
      </w:r>
      <w:bookmarkEnd w:id="68"/>
    </w:p>
    <w:p>
      <w:pPr>
        <w:pStyle w:val="4"/>
        <w:rPr>
          <w:rFonts w:ascii="仿宋" w:hAnsi="仿宋" w:eastAsia="仿宋"/>
          <w:color w:val="auto"/>
          <w:highlight w:val="none"/>
        </w:rPr>
      </w:pPr>
      <w:bookmarkStart w:id="69" w:name="_Toc15396629"/>
      <w:r>
        <w:rPr>
          <w:rStyle w:val="26"/>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府性基金预算财政拨款收入支出决算表</w:t>
      </w:r>
      <w:bookmarkEnd w:id="69"/>
    </w:p>
    <w:p>
      <w:pPr>
        <w:pStyle w:val="4"/>
        <w:rPr>
          <w:rFonts w:ascii="仿宋" w:hAnsi="仿宋" w:eastAsia="仿宋"/>
          <w:color w:val="auto"/>
          <w:highlight w:val="none"/>
        </w:rPr>
      </w:pPr>
      <w:bookmarkStart w:id="70" w:name="_Toc15396630"/>
      <w:r>
        <w:rPr>
          <w:rStyle w:val="26"/>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府性基金预算财政拨款“三公”经费支出决算表</w:t>
      </w:r>
      <w:bookmarkEnd w:id="70"/>
    </w:p>
    <w:p>
      <w:pPr>
        <w:pStyle w:val="4"/>
        <w:rPr>
          <w:rStyle w:val="26"/>
          <w:rFonts w:hint="eastAsia" w:ascii="仿宋" w:hAnsi="仿宋" w:eastAsia="仿宋"/>
          <w:b w:val="0"/>
          <w:bCs w:val="0"/>
          <w:color w:val="auto"/>
          <w:highlight w:val="none"/>
        </w:rPr>
      </w:pPr>
      <w:bookmarkStart w:id="71" w:name="_Toc15396631"/>
      <w:r>
        <w:rPr>
          <w:rStyle w:val="26"/>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6"/>
          <w:rFonts w:hint="eastAsia" w:ascii="仿宋" w:hAnsi="仿宋" w:eastAsia="仿宋"/>
          <w:b w:val="0"/>
          <w:bCs w:val="0"/>
          <w:color w:val="auto"/>
          <w:highlight w:val="none"/>
        </w:rPr>
        <w:t>有资本经营预算</w:t>
      </w:r>
      <w:r>
        <w:rPr>
          <w:rStyle w:val="26"/>
          <w:rFonts w:hint="eastAsia" w:ascii="仿宋" w:hAnsi="仿宋" w:eastAsia="仿宋"/>
          <w:b w:val="0"/>
          <w:bCs w:val="0"/>
          <w:color w:val="auto"/>
          <w:highlight w:val="none"/>
          <w:lang w:eastAsia="zh-CN"/>
        </w:rPr>
        <w:t>财政拨款收入</w:t>
      </w:r>
      <w:r>
        <w:rPr>
          <w:rStyle w:val="26"/>
          <w:rFonts w:hint="eastAsia" w:ascii="仿宋" w:hAnsi="仿宋" w:eastAsia="仿宋"/>
          <w:b w:val="0"/>
          <w:bCs w:val="0"/>
          <w:color w:val="auto"/>
          <w:highlight w:val="none"/>
        </w:rPr>
        <w:t>支出决算表</w:t>
      </w:r>
      <w:bookmarkEnd w:id="71"/>
    </w:p>
    <w:p>
      <w:pPr>
        <w:rPr>
          <w:rFonts w:hint="eastAsia" w:eastAsia="仿宋"/>
          <w:color w:val="auto"/>
          <w:highlight w:val="none"/>
          <w:lang w:eastAsia="zh-CN"/>
        </w:rPr>
      </w:pPr>
      <w:r>
        <w:rPr>
          <w:rStyle w:val="26"/>
          <w:rFonts w:hint="eastAsia" w:ascii="仿宋" w:hAnsi="仿宋" w:eastAsia="仿宋"/>
          <w:b w:val="0"/>
          <w:bCs w:val="0"/>
          <w:color w:val="auto"/>
          <w:highlight w:val="none"/>
          <w:lang w:eastAsia="zh-CN"/>
        </w:rPr>
        <w:t>十四、国有资本经营预算财政拨款支出决算表</w:t>
      </w:r>
    </w:p>
    <w:sectPr>
      <w:footerReference r:id="rId8" w:type="first"/>
      <w:footerReference r:id="rId7" w:type="default"/>
      <w:pgSz w:w="11906" w:h="16838"/>
      <w:pgMar w:top="1440" w:right="1576" w:bottom="1327" w:left="1689"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Narrow">
    <w:altName w:val="Arial"/>
    <w:panose1 w:val="020B060602020203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mI5NTg4ZGE2N2QzOTEyMzRlYzExYjNmZjdiNG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2032A3"/>
    <w:rsid w:val="0AE02F38"/>
    <w:rsid w:val="0B0D3668"/>
    <w:rsid w:val="0B8A37D8"/>
    <w:rsid w:val="0D553231"/>
    <w:rsid w:val="10C055FF"/>
    <w:rsid w:val="118107EC"/>
    <w:rsid w:val="11DD6519"/>
    <w:rsid w:val="16BB723D"/>
    <w:rsid w:val="18015F3F"/>
    <w:rsid w:val="1BE8440E"/>
    <w:rsid w:val="1D155CEE"/>
    <w:rsid w:val="201A528F"/>
    <w:rsid w:val="203F0672"/>
    <w:rsid w:val="20F57F95"/>
    <w:rsid w:val="240371BF"/>
    <w:rsid w:val="25C741E6"/>
    <w:rsid w:val="27842671"/>
    <w:rsid w:val="29FD04D3"/>
    <w:rsid w:val="2ABE7A3E"/>
    <w:rsid w:val="2EFA178C"/>
    <w:rsid w:val="30641A36"/>
    <w:rsid w:val="30B46D73"/>
    <w:rsid w:val="315C338A"/>
    <w:rsid w:val="319F7F4E"/>
    <w:rsid w:val="340D28D4"/>
    <w:rsid w:val="36E00215"/>
    <w:rsid w:val="39AE70AB"/>
    <w:rsid w:val="3C0C0783"/>
    <w:rsid w:val="3F9F3A96"/>
    <w:rsid w:val="42DB6767"/>
    <w:rsid w:val="493C27E9"/>
    <w:rsid w:val="496F39ED"/>
    <w:rsid w:val="49877EDC"/>
    <w:rsid w:val="49FF41D3"/>
    <w:rsid w:val="4A855279"/>
    <w:rsid w:val="4BE068DB"/>
    <w:rsid w:val="4BF6002B"/>
    <w:rsid w:val="4C536D39"/>
    <w:rsid w:val="4ECE2238"/>
    <w:rsid w:val="51DB4B86"/>
    <w:rsid w:val="55333C3E"/>
    <w:rsid w:val="55997341"/>
    <w:rsid w:val="62133FBC"/>
    <w:rsid w:val="64CA39A1"/>
    <w:rsid w:val="6A0C577D"/>
    <w:rsid w:val="6C4A05C8"/>
    <w:rsid w:val="713C74B9"/>
    <w:rsid w:val="72734D90"/>
    <w:rsid w:val="73813123"/>
    <w:rsid w:val="776B7E26"/>
    <w:rsid w:val="78ED412A"/>
    <w:rsid w:val="79E7B28D"/>
    <w:rsid w:val="7B89596C"/>
    <w:rsid w:val="7BD472EC"/>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6">
    <w:name w:val="Body Text"/>
    <w:basedOn w:val="1"/>
    <w:next w:val="1"/>
    <w:link w:val="23"/>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6"/>
    <w:qFormat/>
    <w:locked/>
    <w:uiPriority w:val="99"/>
    <w:rPr>
      <w:rFonts w:ascii="仿宋_GB2312" w:hAnsi="Times New Roman" w:eastAsia="仿宋_GB2312"/>
      <w:sz w:val="24"/>
    </w:rPr>
  </w:style>
  <w:style w:type="paragraph" w:styleId="24">
    <w:name w:val="List Paragraph"/>
    <w:basedOn w:val="1"/>
    <w:qFormat/>
    <w:uiPriority w:val="34"/>
    <w:pPr>
      <w:ind w:firstLine="420" w:firstLineChars="200"/>
    </w:pPr>
  </w:style>
  <w:style w:type="character" w:customStyle="1" w:styleId="25">
    <w:name w:val="标题 1 Char"/>
    <w:basedOn w:val="15"/>
    <w:link w:val="3"/>
    <w:qFormat/>
    <w:uiPriority w:val="9"/>
    <w:rPr>
      <w:rFonts w:ascii="Times New Roman" w:hAnsi="Times New Roman"/>
      <w:b/>
      <w:bCs/>
      <w:kern w:val="44"/>
      <w:sz w:val="44"/>
      <w:szCs w:val="44"/>
    </w:rPr>
  </w:style>
  <w:style w:type="character" w:customStyle="1" w:styleId="26">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5"/>
    <w:link w:val="8"/>
    <w:semiHidden/>
    <w:qFormat/>
    <w:uiPriority w:val="99"/>
    <w:rPr>
      <w:rFonts w:ascii="Times New Roman" w:hAnsi="Times New Roman"/>
      <w:kern w:val="2"/>
      <w:sz w:val="18"/>
      <w:szCs w:val="18"/>
    </w:rPr>
  </w:style>
  <w:style w:type="character" w:customStyle="1" w:styleId="29">
    <w:name w:val="标题 3 Char"/>
    <w:basedOn w:val="15"/>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章标题"/>
    <w:basedOn w:val="1"/>
    <w:next w:val="32"/>
    <w:unhideWhenUsed/>
    <w:qFormat/>
    <w:uiPriority w:val="99"/>
    <w:pPr>
      <w:widowControl/>
      <w:spacing w:before="158" w:after="153" w:line="323" w:lineRule="atLeast"/>
      <w:ind w:right="-120"/>
      <w:jc w:val="center"/>
      <w:textAlignment w:val="baseline"/>
    </w:pPr>
    <w:rPr>
      <w:color w:val="FF0000"/>
      <w:sz w:val="18"/>
      <w:szCs w:val="18"/>
    </w:rPr>
  </w:style>
  <w:style w:type="paragraph" w:customStyle="1" w:styleId="32">
    <w:name w:val="节标题"/>
    <w:basedOn w:val="1"/>
    <w:next w:val="1"/>
    <w:unhideWhenUsed/>
    <w:qFormat/>
    <w:uiPriority w:val="99"/>
    <w:pPr>
      <w:widowControl/>
      <w:spacing w:line="289" w:lineRule="atLeast"/>
      <w:jc w:val="center"/>
      <w:textAlignment w:val="baseline"/>
    </w:pPr>
    <w:rPr>
      <w:color w:val="000000"/>
      <w:sz w:val="28"/>
      <w:szCs w:val="28"/>
    </w:rPr>
  </w:style>
  <w:style w:type="character" w:customStyle="1" w:styleId="33">
    <w:name w:val="NormalCharacter"/>
    <w:qFormat/>
    <w:uiPriority w:val="0"/>
    <w:rPr>
      <w:rFonts w:ascii="Calibri" w:hAnsi="Calibri" w:eastAsia="宋体"/>
      <w:kern w:val="2"/>
      <w:sz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300">
                <a:latin typeface="黑体" panose="02010609060101010101" charset="-122"/>
                <a:ea typeface="黑体" panose="02010609060101010101" charset="-122"/>
                <a:cs typeface="黑体" panose="02010609060101010101" charset="-122"/>
              </a:rPr>
              <a:t>2020</a:t>
            </a:r>
            <a:r>
              <a:rPr altLang="en-US" sz="1300">
                <a:latin typeface="黑体" panose="02010609060101010101" charset="-122"/>
                <a:ea typeface="黑体" panose="02010609060101010101" charset="-122"/>
                <a:cs typeface="黑体" panose="02010609060101010101" charset="-122"/>
              </a:rPr>
              <a:t>年、</a:t>
            </a:r>
            <a:r>
              <a:rPr lang="en-US" altLang="zh-CN" sz="1300">
                <a:latin typeface="黑体" panose="02010609060101010101" charset="-122"/>
                <a:ea typeface="黑体" panose="02010609060101010101" charset="-122"/>
                <a:cs typeface="黑体" panose="02010609060101010101" charset="-122"/>
              </a:rPr>
              <a:t>2021</a:t>
            </a:r>
            <a:r>
              <a:rPr altLang="en-US" sz="1300">
                <a:latin typeface="黑体" panose="02010609060101010101" charset="-122"/>
                <a:ea typeface="黑体" panose="02010609060101010101" charset="-122"/>
                <a:cs typeface="黑体" panose="02010609060101010101" charset="-122"/>
              </a:rPr>
              <a:t>年收支决算变动情况（万元）</a:t>
            </a:r>
            <a:endParaRPr lang="en-US" altLang="zh-CN" sz="1300">
              <a:latin typeface="黑体" panose="02010609060101010101" charset="-122"/>
              <a:ea typeface="黑体" panose="02010609060101010101" charset="-122"/>
              <a:cs typeface="黑体" panose="02010609060101010101" charset="-122"/>
            </a:endParaRPr>
          </a:p>
        </c:rich>
      </c:tx>
      <c:layout>
        <c:manualLayout>
          <c:xMode val="edge"/>
          <c:yMode val="edge"/>
          <c:x val="0.125377643504532"/>
          <c:y val="0.0188679245283019"/>
        </c:manualLayout>
      </c:layout>
      <c:overlay val="0"/>
      <c:spPr>
        <a:noFill/>
        <a:ln>
          <a:noFill/>
        </a:ln>
        <a:effectLst/>
      </c:spPr>
    </c:title>
    <c:autoTitleDeleted val="0"/>
    <c:plotArea>
      <c:layout/>
      <c:barChart>
        <c:barDir val="col"/>
        <c:grouping val="stack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bg1"/>
                    </a:solidFill>
                    <a:latin typeface="Arial Narrow" panose="020B0606020202030204" charset="0"/>
                    <a:ea typeface="Arial Narrow" panose="020B0606020202030204" charset="0"/>
                    <a:cs typeface="Arial Narrow" panose="020B0606020202030204" charset="0"/>
                    <a:sym typeface="Arial Narrow" panose="020B0606020202030204" charset="0"/>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2020年</c:v>
                </c:pt>
              </c:strCache>
            </c:strRef>
          </c:cat>
          <c:val>
            <c:numRef>
              <c:f>Sheet1!$B$2:$B$3</c:f>
              <c:numCache>
                <c:formatCode>General</c:formatCode>
                <c:ptCount val="2"/>
                <c:pt idx="0">
                  <c:v>295.05</c:v>
                </c:pt>
                <c:pt idx="1">
                  <c:v>993.07</c:v>
                </c:pt>
              </c:numCache>
            </c:numRef>
          </c:val>
        </c:ser>
        <c:ser>
          <c:idx val="1"/>
          <c:order val="1"/>
          <c:tx>
            <c:strRef>
              <c:f>Sheet1!$C$1</c:f>
              <c:strCache>
                <c:ptCount val="1"/>
                <c:pt idx="0">
                  <c:v>系列 2</c:v>
                </c:pt>
              </c:strCache>
            </c:strRef>
          </c:tx>
          <c:spPr>
            <a:solidFill>
              <a:schemeClr val="accent2"/>
            </a:solidFill>
            <a:ln>
              <a:noFill/>
            </a:ln>
            <a:effectLst/>
          </c:spPr>
          <c:invertIfNegative val="0"/>
          <c:dLbls>
            <c:delete val="1"/>
          </c:dLbls>
          <c:cat>
            <c:strRef>
              <c:f>Sheet1!$A$2:$A$3</c:f>
              <c:strCache>
                <c:ptCount val="2"/>
                <c:pt idx="0">
                  <c:v>2021年</c:v>
                </c:pt>
                <c:pt idx="1">
                  <c:v>2020年</c:v>
                </c:pt>
              </c:strCache>
            </c:strRef>
          </c:cat>
          <c:val>
            <c:numRef>
              <c:f>Sheet1!$C$2:$C$3</c:f>
              <c:numCache>
                <c:formatCode>General</c:formatCode>
                <c:ptCount val="2"/>
                <c:pt idx="0">
                  <c:v>2.4</c:v>
                </c:pt>
                <c:pt idx="1">
                  <c:v>4.4</c:v>
                </c:pt>
              </c:numCache>
            </c:numRef>
          </c:val>
        </c:ser>
        <c:ser>
          <c:idx val="2"/>
          <c:order val="2"/>
          <c:tx>
            <c:strRef>
              <c:f>Sheet1!$D$1</c:f>
              <c:strCache>
                <c:ptCount val="1"/>
                <c:pt idx="0">
                  <c:v>系列 3</c:v>
                </c:pt>
              </c:strCache>
            </c:strRef>
          </c:tx>
          <c:spPr>
            <a:solidFill>
              <a:schemeClr val="accent3"/>
            </a:solidFill>
            <a:ln>
              <a:noFill/>
            </a:ln>
            <a:effectLst/>
          </c:spPr>
          <c:invertIfNegative val="0"/>
          <c:dLbls>
            <c:delete val="1"/>
          </c:dLbls>
          <c:cat>
            <c:strRef>
              <c:f>Sheet1!$A$2:$A$3</c:f>
              <c:strCache>
                <c:ptCount val="2"/>
                <c:pt idx="0">
                  <c:v>2021年</c:v>
                </c:pt>
                <c:pt idx="1">
                  <c:v>2020年</c:v>
                </c:pt>
              </c:strCache>
            </c:strRef>
          </c:cat>
          <c:val>
            <c:numRef>
              <c:f>Sheet1!$D$2:$D$3</c:f>
              <c:numCache>
                <c:formatCode>General</c:formatCode>
                <c:ptCount val="2"/>
                <c:pt idx="0">
                  <c:v>2</c:v>
                </c:pt>
                <c:pt idx="1">
                  <c:v>2</c:v>
                </c:pt>
              </c:numCache>
            </c:numRef>
          </c:val>
        </c:ser>
        <c:dLbls>
          <c:showLegendKey val="0"/>
          <c:showVal val="0"/>
          <c:showCatName val="0"/>
          <c:showSerName val="0"/>
          <c:showPercent val="0"/>
          <c:showBubbleSize val="0"/>
        </c:dLbls>
        <c:gapWidth val="150"/>
        <c:overlap val="100"/>
        <c:axId val="702779243"/>
        <c:axId val="720364781"/>
      </c:barChart>
      <c:catAx>
        <c:axId val="70277924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1" i="0" u="none" strike="noStrike" kern="1200" cap="none" spc="0" normalizeH="0" baseline="0">
                <a:solidFill>
                  <a:schemeClr val="tx1"/>
                </a:solidFill>
                <a:uFill>
                  <a:solidFill>
                    <a:schemeClr val="tx1">
                      <a:lumMod val="65000"/>
                      <a:lumOff val="35000"/>
                    </a:schemeClr>
                  </a:solidFill>
                </a:uFill>
                <a:latin typeface="+mn-lt"/>
                <a:ea typeface="仿宋" panose="02010609060101010101" charset="-122"/>
                <a:cs typeface="+mn-cs"/>
              </a:defRPr>
            </a:pPr>
          </a:p>
        </c:txPr>
        <c:crossAx val="720364781"/>
        <c:crosses val="autoZero"/>
        <c:auto val="1"/>
        <c:lblAlgn val="ctr"/>
        <c:lblOffset val="100"/>
        <c:noMultiLvlLbl val="0"/>
      </c:catAx>
      <c:valAx>
        <c:axId val="720364781"/>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277924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solidFill>
                  <a:schemeClr val="tx1"/>
                </a:solidFill>
                <a:uFillTx/>
                <a:latin typeface="黑体" panose="02010609060101010101" charset="-122"/>
                <a:ea typeface="黑体" panose="02010609060101010101" charset="-122"/>
                <a:cs typeface="黑体" panose="02010609060101010101" charset="-122"/>
              </a:rPr>
              <a:t>2021</a:t>
            </a:r>
            <a:r>
              <a:rPr altLang="en-US">
                <a:solidFill>
                  <a:schemeClr val="tx1"/>
                </a:solidFill>
                <a:uFillTx/>
                <a:latin typeface="黑体" panose="02010609060101010101" charset="-122"/>
                <a:ea typeface="黑体" panose="02010609060101010101" charset="-122"/>
                <a:cs typeface="黑体" panose="02010609060101010101" charset="-122"/>
              </a:rPr>
              <a:t>年收入决算</a:t>
            </a:r>
            <a:endParaRPr lang="en-US" altLang="en-US">
              <a:solidFill>
                <a:schemeClr val="tx1"/>
              </a:solidFill>
              <a:uFillTx/>
              <a:latin typeface="黑体" panose="02010609060101010101" charset="-122"/>
              <a:ea typeface="黑体" panose="02010609060101010101" charset="-122"/>
              <a:cs typeface="黑体" panose="02010609060101010101" charset="-122"/>
            </a:endParaRPr>
          </a:p>
        </c:rich>
      </c:tx>
      <c:layout>
        <c:manualLayout>
          <c:xMode val="edge"/>
          <c:yMode val="edge"/>
          <c:x val="0.339076923076923"/>
          <c:y val="0.0365367581930912"/>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245.5</c:v>
                </c:pt>
                <c:pt idx="1">
                  <c:v>43.5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000" b="1" i="0" u="none" strike="noStrike" kern="1200" cap="none" spc="0" normalizeH="0" baseline="0">
                <a:solidFill>
                  <a:schemeClr val="tx1"/>
                </a:solidFill>
                <a:uFill>
                  <a:solidFill>
                    <a:schemeClr val="tx1">
                      <a:lumMod val="65000"/>
                      <a:lumOff val="35000"/>
                    </a:schemeClr>
                  </a:solidFill>
                </a:uFill>
                <a:latin typeface="+mn-lt"/>
                <a:ea typeface="仿宋" panose="02010609060101010101" charset="-122"/>
                <a:cs typeface="+mn-cs"/>
              </a:defRPr>
            </a:pPr>
          </a:p>
        </c:txPr>
      </c:legendEntry>
      <c:legendEntry>
        <c:idx val="1"/>
        <c:txPr>
          <a:bodyPr rot="0" spcFirstLastPara="0" vertOverflow="ellipsis" vert="horz" wrap="square" anchor="ctr" anchorCtr="1"/>
          <a:lstStyle/>
          <a:p>
            <a:pPr>
              <a:defRPr lang="zh-CN" sz="1000" b="1" i="0" u="none" strike="noStrike" kern="1200" cap="none" spc="0" normalizeH="0" baseline="0">
                <a:solidFill>
                  <a:schemeClr val="tx1"/>
                </a:solidFill>
                <a:uFill>
                  <a:solidFill>
                    <a:schemeClr val="tx1">
                      <a:lumMod val="65000"/>
                      <a:lumOff val="35000"/>
                    </a:schemeClr>
                  </a:solidFill>
                </a:uFill>
                <a:latin typeface="+mn-lt"/>
                <a:ea typeface="仿宋" panose="02010609060101010101" charset="-122"/>
                <a:cs typeface="+mn-cs"/>
              </a:defRPr>
            </a:pPr>
          </a:p>
        </c:txPr>
      </c:legendEntry>
      <c:layout/>
      <c:overlay val="0"/>
      <c:spPr>
        <a:noFill/>
        <a:ln>
          <a:noFill/>
        </a:ln>
        <a:effectLst/>
      </c:spPr>
      <c:txPr>
        <a:bodyPr rot="0" spcFirstLastPara="0" vertOverflow="ellipsis" vert="horz" wrap="square" anchor="ctr" anchorCtr="1"/>
        <a:lstStyle/>
        <a:p>
          <a:pPr>
            <a:defRPr lang="zh-CN" sz="1000" b="1" i="0" u="none" strike="noStrike" kern="1200" cap="none" spc="0" normalizeH="0" baseline="0">
              <a:solidFill>
                <a:schemeClr val="tx1"/>
              </a:solidFill>
              <a:uFill>
                <a:solidFill>
                  <a:schemeClr val="tx1">
                    <a:lumMod val="65000"/>
                    <a:lumOff val="35000"/>
                  </a:schemeClr>
                </a:solidFill>
              </a:uFill>
              <a:latin typeface="+mn-lt"/>
              <a:ea typeface="仿宋" panose="02010609060101010101" charset="-122"/>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chemeClr val="tx1">
                    <a:lumMod val="65000"/>
                    <a:lumOff val="35000"/>
                  </a:schemeClr>
                </a:solidFill>
                <a:latin typeface="Arial Narrow" panose="020B0606020202030204" charset="0"/>
                <a:ea typeface="Arial Narrow" panose="020B0606020202030204" charset="0"/>
                <a:cs typeface="Arial Narrow" panose="020B0606020202030204" charset="0"/>
                <a:sym typeface="Arial Narrow" panose="020B0606020202030204" charset="0"/>
              </a:defRPr>
            </a:pPr>
            <a:r>
              <a:rPr lang="en-US" altLang="zh-CN" sz="1400">
                <a:solidFill>
                  <a:schemeClr val="tx1"/>
                </a:solidFill>
                <a:uFillTx/>
                <a:latin typeface="黑体" panose="02010609060101010101" charset="-122"/>
                <a:ea typeface="黑体" panose="02010609060101010101" charset="-122"/>
                <a:cs typeface="黑体" panose="02010609060101010101" charset="-122"/>
                <a:sym typeface="Arial Narrow" panose="020B0606020202030204" charset="0"/>
              </a:rPr>
              <a:t>2021</a:t>
            </a:r>
            <a:r>
              <a:rPr altLang="en-US" sz="1400">
                <a:solidFill>
                  <a:schemeClr val="tx1"/>
                </a:solidFill>
                <a:uFillTx/>
                <a:latin typeface="黑体" panose="02010609060101010101" charset="-122"/>
                <a:ea typeface="黑体" panose="02010609060101010101" charset="-122"/>
                <a:cs typeface="黑体" panose="02010609060101010101" charset="-122"/>
                <a:sym typeface="Arial Narrow" panose="020B0606020202030204" charset="0"/>
              </a:rPr>
              <a:t>年支出决算</a:t>
            </a:r>
            <a:endParaRPr lang="en-US" altLang="en-US" sz="1400">
              <a:solidFill>
                <a:schemeClr val="tx1"/>
              </a:solidFill>
              <a:uFillTx/>
              <a:latin typeface="黑体" panose="02010609060101010101" charset="-122"/>
              <a:ea typeface="黑体" panose="02010609060101010101" charset="-122"/>
              <a:cs typeface="黑体" panose="02010609060101010101" charset="-122"/>
              <a:sym typeface="Arial Narrow" panose="020B0606020202030204" charset="0"/>
            </a:endParaRPr>
          </a:p>
        </c:rich>
      </c:tx>
      <c:layout>
        <c:manualLayout>
          <c:xMode val="edge"/>
          <c:yMode val="edge"/>
          <c:x val="0.30844277673546"/>
          <c:y val="0.0950258094791178"/>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222323879231473"/>
                  <c:y val="-0.11980830670926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Arial Narrow" panose="020B0606020202030204" charset="0"/>
                        <a:ea typeface="Arial Narrow" panose="020B0606020202030204" charset="0"/>
                        <a:cs typeface="Arial Narrow" panose="020B0606020202030204" charset="0"/>
                        <a:sym typeface="Arial Narrow" panose="020B0606020202030204" charset="0"/>
                      </a:defRPr>
                    </a:pPr>
                    <a:r>
                      <a:rPr sz="1000" b="1">
                        <a:latin typeface="Arial Narrow" panose="020B0606020202030204" charset="0"/>
                        <a:ea typeface="Arial Narrow" panose="020B0606020202030204" charset="0"/>
                        <a:cs typeface="Arial Narrow" panose="020B0606020202030204" charset="0"/>
                        <a:sym typeface="Arial Narrow" panose="020B0606020202030204" charset="0"/>
                      </a:rPr>
                      <a:t>205.03万元</a:t>
                    </a:r>
                    <a:endParaRPr sz="1000" b="1">
                      <a:latin typeface="Arial Narrow" panose="020B0606020202030204" charset="0"/>
                      <a:ea typeface="Arial Narrow" panose="020B0606020202030204" charset="0"/>
                      <a:cs typeface="Arial Narrow" panose="020B0606020202030204" charset="0"/>
                      <a:sym typeface="Arial Narrow" panose="020B0606020202030204" charset="0"/>
                    </a:endParaRPr>
                  </a:p>
                </c:rich>
              </c:tx>
              <c:dLblPos val="bestFit"/>
              <c:showLegendKey val="0"/>
              <c:showVal val="1"/>
              <c:showCatName val="0"/>
              <c:showSerName val="0"/>
              <c:showPercent val="0"/>
              <c:showBubbleSize val="0"/>
              <c:extLst>
                <c:ext xmlns:c15="http://schemas.microsoft.com/office/drawing/2012/chart" uri="{CE6537A1-D6FC-4f65-9D91-7224C49458BB}">
                  <c15:layout>
                    <c:manualLayout>
                      <c:w val="0.24391582799634"/>
                      <c:h val="0.123231401186673"/>
                    </c:manualLayout>
                  </c15:layout>
                </c:ext>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Arial Narrow" panose="020B0606020202030204" charset="0"/>
                        <a:ea typeface="Arial Narrow" panose="020B0606020202030204" charset="0"/>
                        <a:cs typeface="Arial Narrow" panose="020B0606020202030204" charset="0"/>
                        <a:sym typeface="Arial Narrow" panose="020B0606020202030204" charset="0"/>
                      </a:defRPr>
                    </a:pPr>
                    <a:r>
                      <a:rPr sz="1000" b="1">
                        <a:latin typeface="Arial Narrow" panose="020B0606020202030204" charset="0"/>
                        <a:ea typeface="Arial Narrow" panose="020B0606020202030204" charset="0"/>
                        <a:cs typeface="Arial Narrow" panose="020B0606020202030204" charset="0"/>
                        <a:sym typeface="Arial Narrow" panose="020B0606020202030204" charset="0"/>
                      </a:rPr>
                      <a:t>90.02万元</a:t>
                    </a:r>
                    <a:endParaRPr sz="1000" b="1">
                      <a:latin typeface="Arial Narrow" panose="020B0606020202030204" charset="0"/>
                      <a:ea typeface="Arial Narrow" panose="020B0606020202030204" charset="0"/>
                      <a:cs typeface="Arial Narrow" panose="020B0606020202030204" charset="0"/>
                      <a:sym typeface="Arial Narrow" panose="020B0606020202030204" charset="0"/>
                    </a:endParaRP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Arial Narrow" panose="020B0606020202030204" charset="0"/>
                    <a:ea typeface="Arial Narrow" panose="020B0606020202030204" charset="0"/>
                    <a:cs typeface="Arial Narrow" panose="020B0606020202030204" charset="0"/>
                    <a:sym typeface="Arial Narrow" panose="020B0606020202030204" charset="0"/>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205.03</c:v>
                </c:pt>
                <c:pt idx="1">
                  <c:v>90.02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000" b="1" i="0" u="none" strike="noStrike" kern="1200" cap="none" spc="0" normalizeH="0" baseline="0">
                <a:solidFill>
                  <a:schemeClr val="tx1"/>
                </a:solidFill>
                <a:uFill>
                  <a:solidFill>
                    <a:schemeClr val="tx1">
                      <a:lumMod val="65000"/>
                      <a:lumOff val="35000"/>
                    </a:schemeClr>
                  </a:solidFill>
                </a:uFill>
                <a:latin typeface="Arial Narrow" panose="020B0606020202030204" charset="0"/>
                <a:ea typeface="Arial Narrow" panose="020B0606020202030204" charset="0"/>
                <a:cs typeface="Arial Narrow" panose="020B0606020202030204" charset="0"/>
                <a:sym typeface="Arial Narrow" panose="020B0606020202030204" charset="0"/>
              </a:defRPr>
            </a:pPr>
          </a:p>
        </c:txPr>
      </c:legendEntry>
      <c:legendEntry>
        <c:idx val="1"/>
        <c:txPr>
          <a:bodyPr rot="0" spcFirstLastPara="0" vertOverflow="ellipsis" vert="horz" wrap="square" anchor="ctr" anchorCtr="1"/>
          <a:lstStyle/>
          <a:p>
            <a:pPr>
              <a:defRPr lang="zh-CN" sz="1000" b="1" i="0" u="none" strike="noStrike" kern="1200" cap="none" spc="0" normalizeH="0" baseline="0">
                <a:solidFill>
                  <a:schemeClr val="tx1"/>
                </a:solidFill>
                <a:uFill>
                  <a:solidFill>
                    <a:schemeClr val="tx1">
                      <a:lumMod val="65000"/>
                      <a:lumOff val="35000"/>
                    </a:schemeClr>
                  </a:solidFill>
                </a:uFill>
                <a:latin typeface="Arial Narrow" panose="020B0606020202030204" charset="0"/>
                <a:ea typeface="Arial Narrow" panose="020B0606020202030204" charset="0"/>
                <a:cs typeface="Arial Narrow" panose="020B0606020202030204" charset="0"/>
                <a:sym typeface="Arial Narrow" panose="020B0606020202030204" charset="0"/>
              </a:defRPr>
            </a:pPr>
          </a:p>
        </c:txPr>
      </c:legendEntry>
      <c:layout>
        <c:manualLayout>
          <c:xMode val="edge"/>
          <c:yMode val="edge"/>
          <c:x val="0.353512575888985"/>
          <c:y val="0.891195105964606"/>
        </c:manualLayout>
      </c:layout>
      <c:overlay val="0"/>
      <c:spPr>
        <a:noFill/>
        <a:ln>
          <a:noFill/>
        </a:ln>
        <a:effectLst/>
      </c:spPr>
      <c:txPr>
        <a:bodyPr rot="0" spcFirstLastPara="0" vertOverflow="ellipsis" vert="horz" wrap="square" anchor="ctr" anchorCtr="1"/>
        <a:lstStyle/>
        <a:p>
          <a:pPr>
            <a:defRPr lang="zh-CN" sz="1000" b="1" i="0" u="none" strike="noStrike" kern="1200" cap="none" spc="0" normalizeH="0" baseline="0">
              <a:solidFill>
                <a:schemeClr val="tx1"/>
              </a:solidFill>
              <a:uFill>
                <a:solidFill>
                  <a:schemeClr val="tx1">
                    <a:lumMod val="65000"/>
                    <a:lumOff val="35000"/>
                  </a:schemeClr>
                </a:solidFill>
              </a:uFill>
              <a:latin typeface="Arial Narrow" panose="020B0606020202030204" charset="0"/>
              <a:ea typeface="Arial Narrow" panose="020B0606020202030204" charset="0"/>
              <a:cs typeface="Arial Narrow" panose="020B0606020202030204" charset="0"/>
              <a:sym typeface="Arial Narrow" panose="020B0606020202030204"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00">
          <a:latin typeface="Arial Narrow" panose="020B0606020202030204" charset="0"/>
          <a:ea typeface="Arial Narrow" panose="020B0606020202030204" charset="0"/>
          <a:cs typeface="Arial Narrow" panose="020B0606020202030204" charset="0"/>
          <a:sym typeface="Arial Narrow" panose="020B0606020202030204" charset="0"/>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300" b="0" i="0" u="none" strike="noStrike" kern="1200" spc="0" baseline="0">
                <a:solidFill>
                  <a:schemeClr val="tx1">
                    <a:lumMod val="65000"/>
                    <a:lumOff val="35000"/>
                  </a:schemeClr>
                </a:solidFill>
                <a:latin typeface="+mn-lt"/>
                <a:ea typeface="+mn-ea"/>
                <a:cs typeface="+mn-cs"/>
              </a:defRPr>
            </a:pPr>
            <a:r>
              <a:rPr sz="1250">
                <a:latin typeface="黑体" panose="02010609060101010101" charset="-122"/>
                <a:ea typeface="黑体" panose="02010609060101010101" charset="-122"/>
              </a:rPr>
              <a:t>财政拨款收、支决算总计变动情况</a:t>
            </a:r>
            <a:r>
              <a:rPr lang="en-US" altLang="zh-CN" sz="1250">
                <a:latin typeface="黑体" panose="02010609060101010101" charset="-122"/>
                <a:ea typeface="黑体" panose="02010609060101010101" charset="-122"/>
              </a:rPr>
              <a:t>(</a:t>
            </a:r>
            <a:r>
              <a:rPr sz="1250">
                <a:latin typeface="黑体" panose="02010609060101010101" charset="-122"/>
                <a:ea typeface="黑体" panose="02010609060101010101" charset="-122"/>
              </a:rPr>
              <a:t>万元</a:t>
            </a:r>
            <a:r>
              <a:rPr lang="en-US" altLang="zh-CN" sz="1250">
                <a:latin typeface="黑体" panose="02010609060101010101" charset="-122"/>
                <a:ea typeface="黑体" panose="02010609060101010101" charset="-122"/>
              </a:rPr>
              <a:t>)</a:t>
            </a:r>
            <a:endParaRPr lang="en-US" altLang="zh-CN" sz="1250">
              <a:latin typeface="黑体" panose="02010609060101010101" charset="-122"/>
              <a:ea typeface="黑体" panose="02010609060101010101" charset="-122"/>
            </a:endParaRPr>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bg1"/>
                    </a:solidFill>
                    <a:latin typeface="Arial Narrow" panose="020B0606020202030204" charset="0"/>
                    <a:ea typeface="Arial Narrow" panose="020B0606020202030204" charset="0"/>
                    <a:cs typeface="Arial Narrow" panose="020B0606020202030204" charset="0"/>
                    <a:sym typeface="Arial Narrow" panose="020B0606020202030204" charset="0"/>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2020年</c:v>
                </c:pt>
              </c:strCache>
            </c:strRef>
          </c:cat>
          <c:val>
            <c:numRef>
              <c:f>Sheet1!$B$2:$B$3</c:f>
              <c:numCache>
                <c:formatCode>General</c:formatCode>
                <c:ptCount val="2"/>
                <c:pt idx="0">
                  <c:v>251.55</c:v>
                </c:pt>
                <c:pt idx="1">
                  <c:v>857.36</c:v>
                </c:pt>
              </c:numCache>
            </c:numRef>
          </c:val>
        </c:ser>
        <c:ser>
          <c:idx val="1"/>
          <c:order val="1"/>
          <c:tx>
            <c:strRef>
              <c:f>Sheet1!$C$1</c:f>
              <c:strCache>
                <c:ptCount val="1"/>
                <c:pt idx="0">
                  <c:v>系列 2</c:v>
                </c:pt>
              </c:strCache>
            </c:strRef>
          </c:tx>
          <c:spPr>
            <a:solidFill>
              <a:schemeClr val="accent2"/>
            </a:solidFill>
            <a:ln>
              <a:noFill/>
            </a:ln>
            <a:effectLst/>
          </c:spPr>
          <c:invertIfNegative val="0"/>
          <c:dLbls>
            <c:delete val="1"/>
          </c:dLbls>
          <c:cat>
            <c:strRef>
              <c:f>Sheet1!$A$2:$A$3</c:f>
              <c:strCache>
                <c:ptCount val="2"/>
                <c:pt idx="0">
                  <c:v>2021年</c:v>
                </c:pt>
                <c:pt idx="1">
                  <c:v>2020年</c:v>
                </c:pt>
              </c:strCache>
            </c:strRef>
          </c:cat>
          <c:val>
            <c:numRef>
              <c:f>Sheet1!$C$2:$C$3</c:f>
              <c:numCache>
                <c:formatCode>General</c:formatCode>
                <c:ptCount val="2"/>
                <c:pt idx="0">
                  <c:v>2.4</c:v>
                </c:pt>
                <c:pt idx="1">
                  <c:v>4.4</c:v>
                </c:pt>
              </c:numCache>
            </c:numRef>
          </c:val>
        </c:ser>
        <c:ser>
          <c:idx val="2"/>
          <c:order val="2"/>
          <c:tx>
            <c:strRef>
              <c:f>Sheet1!$D$1</c:f>
              <c:strCache>
                <c:ptCount val="1"/>
                <c:pt idx="0">
                  <c:v>系列 3</c:v>
                </c:pt>
              </c:strCache>
            </c:strRef>
          </c:tx>
          <c:spPr>
            <a:solidFill>
              <a:schemeClr val="accent3"/>
            </a:solidFill>
            <a:ln>
              <a:noFill/>
            </a:ln>
            <a:effectLst/>
          </c:spPr>
          <c:invertIfNegative val="0"/>
          <c:dLbls>
            <c:delete val="1"/>
          </c:dLbls>
          <c:cat>
            <c:strRef>
              <c:f>Sheet1!$A$2:$A$3</c:f>
              <c:strCache>
                <c:ptCount val="2"/>
                <c:pt idx="0">
                  <c:v>2021年</c:v>
                </c:pt>
                <c:pt idx="1">
                  <c:v>2020年</c:v>
                </c:pt>
              </c:strCache>
            </c:strRef>
          </c:cat>
          <c:val>
            <c:numRef>
              <c:f>Sheet1!$D$2:$D$3</c:f>
              <c:numCache>
                <c:formatCode>General</c:formatCode>
                <c:ptCount val="2"/>
                <c:pt idx="0">
                  <c:v>2</c:v>
                </c:pt>
                <c:pt idx="1">
                  <c:v>2</c:v>
                </c:pt>
              </c:numCache>
            </c:numRef>
          </c:val>
        </c:ser>
        <c:dLbls>
          <c:showLegendKey val="0"/>
          <c:showVal val="0"/>
          <c:showCatName val="0"/>
          <c:showSerName val="0"/>
          <c:showPercent val="0"/>
          <c:showBubbleSize val="0"/>
        </c:dLbls>
        <c:gapWidth val="150"/>
        <c:overlap val="100"/>
        <c:axId val="724063403"/>
        <c:axId val="614833559"/>
      </c:barChart>
      <c:catAx>
        <c:axId val="72406340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4833559"/>
        <c:crosses val="autoZero"/>
        <c:auto val="1"/>
        <c:lblAlgn val="ctr"/>
        <c:lblOffset val="100"/>
        <c:noMultiLvlLbl val="0"/>
      </c:catAx>
      <c:valAx>
        <c:axId val="6148335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40634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200">
                <a:solidFill>
                  <a:schemeClr val="tx1"/>
                </a:solidFill>
                <a:latin typeface="黑体" panose="02010609060101010101" charset="-122"/>
                <a:ea typeface="黑体" panose="02010609060101010101" charset="-122"/>
                <a:cs typeface="黑体" panose="02010609060101010101" charset="-122"/>
              </a:rPr>
              <a:t>一般公共预算财政拨款支出决决算变动</a:t>
            </a:r>
            <a:r>
              <a:rPr sz="1200">
                <a:solidFill>
                  <a:schemeClr val="tx1"/>
                </a:solidFill>
                <a:uFillTx/>
                <a:latin typeface="黑体" panose="02010609060101010101" charset="-122"/>
                <a:ea typeface="黑体" panose="02010609060101010101" charset="-122"/>
                <a:cs typeface="黑体" panose="02010609060101010101" charset="-122"/>
              </a:rPr>
              <a:t>情况</a:t>
            </a:r>
            <a:r>
              <a:rPr lang="en-US" altLang="zh-CN" sz="1200">
                <a:solidFill>
                  <a:schemeClr val="tx1"/>
                </a:solidFill>
                <a:latin typeface="黑体" panose="02010609060101010101" charset="-122"/>
                <a:ea typeface="黑体" panose="02010609060101010101" charset="-122"/>
                <a:cs typeface="黑体" panose="02010609060101010101" charset="-122"/>
              </a:rPr>
              <a:t>(</a:t>
            </a:r>
            <a:r>
              <a:rPr altLang="en-US" sz="1200">
                <a:solidFill>
                  <a:schemeClr val="tx1"/>
                </a:solidFill>
                <a:latin typeface="黑体" panose="02010609060101010101" charset="-122"/>
                <a:ea typeface="黑体" panose="02010609060101010101" charset="-122"/>
                <a:cs typeface="黑体" panose="02010609060101010101" charset="-122"/>
              </a:rPr>
              <a:t>万元</a:t>
            </a:r>
            <a:r>
              <a:rPr lang="en-US" altLang="zh-CN" sz="1200">
                <a:solidFill>
                  <a:schemeClr val="tx1"/>
                </a:solidFill>
                <a:latin typeface="黑体" panose="02010609060101010101" charset="-122"/>
                <a:ea typeface="黑体" panose="02010609060101010101" charset="-122"/>
                <a:cs typeface="黑体" panose="02010609060101010101" charset="-122"/>
              </a:rPr>
              <a:t>)</a:t>
            </a:r>
            <a:endParaRPr lang="en-US" altLang="zh-CN" sz="1200">
              <a:solidFill>
                <a:schemeClr val="tx1"/>
              </a:solidFill>
              <a:latin typeface="黑体" panose="02010609060101010101" charset="-122"/>
              <a:ea typeface="黑体" panose="02010609060101010101" charset="-122"/>
              <a:cs typeface="黑体" panose="02010609060101010101" charset="-122"/>
            </a:endParaRPr>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系列 1</c:v>
                </c:pt>
              </c:strCache>
            </c:strRef>
          </c:tx>
          <c:spPr>
            <a:solidFill>
              <a:schemeClr val="accent1"/>
            </a:solidFill>
            <a:ln>
              <a:noFill/>
            </a:ln>
            <a:effectLst/>
          </c:spPr>
          <c:invertIfNegative val="0"/>
          <c:dLbls>
            <c:dLbl>
              <c:idx val="0"/>
              <c:layout/>
              <c:dLblPos val="ctr"/>
              <c:showLegendKey val="0"/>
              <c:showVal val="1"/>
              <c:showCatName val="0"/>
              <c:showSerName val="0"/>
              <c:showPercent val="0"/>
              <c:showBubbleSize val="0"/>
              <c:extLst>
                <c:ext xmlns:c15="http://schemas.microsoft.com/office/drawing/2012/chart" uri="{CE6537A1-D6FC-4f65-9D91-7224C49458BB}"/>
              </c:extLst>
            </c:dLbl>
            <c:dLbl>
              <c:idx val="1"/>
              <c:layout/>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Arial Narrow" panose="020B0606020202030204" charset="0"/>
                    <a:ea typeface="Arial Narrow" panose="020B0606020202030204" charset="0"/>
                    <a:cs typeface="Arial Narrow" panose="020B0606020202030204" charset="0"/>
                    <a:sym typeface="Arial Narrow" panose="020B0606020202030204" charset="0"/>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251.55</c:v>
                </c:pt>
                <c:pt idx="1">
                  <c:v>356.46</c:v>
                </c:pt>
              </c:numCache>
            </c:numRef>
          </c:val>
        </c:ser>
        <c:ser>
          <c:idx val="1"/>
          <c:order val="1"/>
          <c:tx>
            <c:strRef>
              <c:f>Sheet1!$C$1</c:f>
              <c:strCache>
                <c:ptCount val="1"/>
                <c:pt idx="0">
                  <c:v>系列 2</c:v>
                </c:pt>
              </c:strCache>
            </c:strRef>
          </c:tx>
          <c:spPr>
            <a:solidFill>
              <a:schemeClr val="accent2"/>
            </a:solidFill>
            <a:ln>
              <a:noFill/>
            </a:ln>
            <a:effectLst/>
          </c:spPr>
          <c:invertIfNegative val="0"/>
          <c:dLbls>
            <c:delete val="1"/>
          </c:dLbls>
          <c:cat>
            <c:strRef>
              <c:f>Sheet1!$A$2:$A$3</c:f>
              <c:strCache>
                <c:ptCount val="2"/>
                <c:pt idx="0">
                  <c:v>2021年</c:v>
                </c:pt>
                <c:pt idx="1">
                  <c:v>2022年</c:v>
                </c:pt>
              </c:strCache>
            </c:strRef>
          </c:cat>
          <c:val>
            <c:numRef>
              <c:f>Sheet1!$C$2:$C$3</c:f>
              <c:numCache>
                <c:formatCode>General</c:formatCode>
                <c:ptCount val="2"/>
                <c:pt idx="0">
                  <c:v>2.4</c:v>
                </c:pt>
                <c:pt idx="1">
                  <c:v>4.4</c:v>
                </c:pt>
              </c:numCache>
            </c:numRef>
          </c:val>
        </c:ser>
        <c:ser>
          <c:idx val="2"/>
          <c:order val="2"/>
          <c:tx>
            <c:strRef>
              <c:f>Sheet1!$D$1</c:f>
              <c:strCache>
                <c:ptCount val="1"/>
                <c:pt idx="0">
                  <c:v>系列 3</c:v>
                </c:pt>
              </c:strCache>
            </c:strRef>
          </c:tx>
          <c:spPr>
            <a:solidFill>
              <a:schemeClr val="accent3"/>
            </a:solidFill>
            <a:ln>
              <a:noFill/>
            </a:ln>
            <a:effectLst/>
          </c:spPr>
          <c:invertIfNegative val="0"/>
          <c:dLbls>
            <c:delete val="1"/>
          </c:dLbls>
          <c:cat>
            <c:strRef>
              <c:f>Sheet1!$A$2:$A$3</c:f>
              <c:strCache>
                <c:ptCount val="2"/>
                <c:pt idx="0">
                  <c:v>2021年</c:v>
                </c:pt>
                <c:pt idx="1">
                  <c:v>2022年</c:v>
                </c:pt>
              </c:strCache>
            </c:strRef>
          </c:cat>
          <c:val>
            <c:numRef>
              <c:f>Sheet1!$D$2:$D$3</c:f>
              <c:numCache>
                <c:formatCode>General</c:formatCode>
                <c:ptCount val="2"/>
                <c:pt idx="0">
                  <c:v>2</c:v>
                </c:pt>
                <c:pt idx="1">
                  <c:v>2</c:v>
                </c:pt>
              </c:numCache>
            </c:numRef>
          </c:val>
        </c:ser>
        <c:dLbls>
          <c:showLegendKey val="0"/>
          <c:showVal val="0"/>
          <c:showCatName val="0"/>
          <c:showSerName val="0"/>
          <c:showPercent val="0"/>
          <c:showBubbleSize val="0"/>
        </c:dLbls>
        <c:gapWidth val="150"/>
        <c:overlap val="100"/>
        <c:axId val="308863960"/>
        <c:axId val="45624315"/>
      </c:barChart>
      <c:catAx>
        <c:axId val="3088639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0" i="0" u="none" strike="noStrike" kern="1200" cap="none" spc="0" normalizeH="0" baseline="0">
                <a:solidFill>
                  <a:schemeClr val="tx1"/>
                </a:solidFill>
                <a:uFill>
                  <a:solidFill>
                    <a:schemeClr val="tx1">
                      <a:lumMod val="65000"/>
                      <a:lumOff val="35000"/>
                    </a:schemeClr>
                  </a:solidFill>
                </a:uFill>
                <a:latin typeface="+mn-lt"/>
                <a:ea typeface="黑体" panose="02010609060101010101" charset="-122"/>
                <a:cs typeface="+mn-cs"/>
              </a:defRPr>
            </a:pPr>
          </a:p>
        </c:txPr>
        <c:crossAx val="45624315"/>
        <c:crosses val="autoZero"/>
        <c:auto val="1"/>
        <c:lblAlgn val="ctr"/>
        <c:lblOffset val="100"/>
        <c:noMultiLvlLbl val="0"/>
      </c:catAx>
      <c:valAx>
        <c:axId val="456243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cap="none" spc="0" normalizeH="0" baseline="0">
                <a:solidFill>
                  <a:schemeClr val="tx1"/>
                </a:solidFill>
                <a:uFill>
                  <a:solidFill>
                    <a:schemeClr val="tx1">
                      <a:lumMod val="65000"/>
                      <a:lumOff val="35000"/>
                    </a:schemeClr>
                  </a:solidFill>
                </a:uFill>
                <a:latin typeface="+mn-lt"/>
                <a:ea typeface="+mn-ea"/>
                <a:cs typeface="+mn-cs"/>
              </a:defRPr>
            </a:pPr>
          </a:p>
        </c:txPr>
        <c:crossAx val="3088639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rPr sz="1300" b="0">
                <a:latin typeface="黑体" panose="02010609060101010101" charset="-122"/>
                <a:ea typeface="黑体" panose="02010609060101010101" charset="-122"/>
              </a:rPr>
              <a:t>一般公共预算财政拨款支出决算（万元）</a:t>
            </a:r>
            <a:endParaRPr sz="1300" b="0">
              <a:latin typeface="黑体" panose="02010609060101010101" charset="-122"/>
              <a:ea typeface="黑体" panose="02010609060101010101" charset="-122"/>
            </a:endParaRPr>
          </a:p>
        </c:rich>
      </c:tx>
      <c:layout>
        <c:manualLayout>
          <c:xMode val="edge"/>
          <c:yMode val="edge"/>
          <c:x val="0.117574560919379"/>
          <c:y val="0.00654735923177652"/>
        </c:manualLayout>
      </c:layout>
      <c:overlay val="0"/>
      <c:spPr>
        <a:noFill/>
        <a:ln>
          <a:noFill/>
        </a:ln>
        <a:effectLst/>
      </c:spPr>
    </c:title>
    <c:autoTitleDeleted val="0"/>
    <c:plotArea>
      <c:layout>
        <c:manualLayout>
          <c:layoutTarget val="inner"/>
          <c:xMode val="edge"/>
          <c:yMode val="edge"/>
          <c:x val="0.0359947643979058"/>
          <c:y val="0.222704714640199"/>
          <c:w val="0.557428010471204"/>
          <c:h val="0.704507857733664"/>
        </c:manualLayout>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Lbls>
            <c:dLbl>
              <c:idx val="0"/>
              <c:layout>
                <c:manualLayout>
                  <c:x val="0.118130223109844"/>
                  <c:y val="-0.028525294244789"/>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768206325790204"/>
                  <c:y val="-0.0317130208150913"/>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173708665627402"/>
                  <c:y val="0.00908615948586057"/>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4"/>
              <c:layout>
                <c:manualLayout>
                  <c:x val="-0.0131285655716404"/>
                  <c:y val="-0.0212444116377957"/>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Sheet1!$A$2:$A$6</c:f>
              <c:strCache>
                <c:ptCount val="5"/>
                <c:pt idx="0">
                  <c:v>社会保障和就业支出</c:v>
                </c:pt>
                <c:pt idx="1">
                  <c:v>卫生健康支出</c:v>
                </c:pt>
                <c:pt idx="2">
                  <c:v>城乡社区支出</c:v>
                </c:pt>
                <c:pt idx="3">
                  <c:v>住房保障支出</c:v>
                </c:pt>
                <c:pt idx="4">
                  <c:v>其他支出</c:v>
                </c:pt>
              </c:strCache>
            </c:strRef>
          </c:cat>
          <c:val>
            <c:numRef>
              <c:f>Sheet1!$B$2:$B$6</c:f>
              <c:numCache>
                <c:formatCode>General</c:formatCode>
                <c:ptCount val="5"/>
                <c:pt idx="0">
                  <c:v>26.06</c:v>
                </c:pt>
                <c:pt idx="1">
                  <c:v>4.73</c:v>
                </c:pt>
                <c:pt idx="2">
                  <c:v>211.25</c:v>
                </c:pt>
                <c:pt idx="3">
                  <c:v>9.01</c:v>
                </c:pt>
                <c:pt idx="4">
                  <c:v>0.5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黑体" panose="02010609060101010101" charset="-122"/>
                <a:ea typeface="黑体" panose="02010609060101010101" charset="-122"/>
                <a:cs typeface="黑体" panose="02010609060101010101" charset="-122"/>
                <a:sym typeface="黑体" panose="02010609060101010101" charset="-122"/>
              </a:defRPr>
            </a:pPr>
            <a:r>
              <a:rPr>
                <a:latin typeface="黑体" panose="02010609060101010101" charset="-122"/>
                <a:ea typeface="黑体" panose="02010609060101010101" charset="-122"/>
                <a:cs typeface="黑体" panose="02010609060101010101" charset="-122"/>
                <a:sym typeface="黑体" panose="02010609060101010101" charset="-122"/>
              </a:rPr>
              <a:t>“三公”经费财政拨款支出（万元）</a:t>
            </a:r>
            <a:endParaRPr>
              <a:latin typeface="黑体" panose="02010609060101010101" charset="-122"/>
              <a:ea typeface="黑体" panose="02010609060101010101" charset="-122"/>
              <a:cs typeface="黑体" panose="02010609060101010101" charset="-122"/>
              <a:sym typeface="黑体" panose="02010609060101010101" charset="-122"/>
            </a:endParaRP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1"/>
              <c:layout>
                <c:manualLayout>
                  <c:x val="-0.189560936261499"/>
                  <c:y val="0.0545848431572402"/>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Arial Narrow" panose="020B0606020202030204" charset="0"/>
                    <a:ea typeface="Arial Narrow" panose="020B0606020202030204" charset="0"/>
                    <a:cs typeface="Arial Narrow" panose="020B0606020202030204" charset="0"/>
                    <a:sym typeface="Arial Narrow" panose="020B0606020202030204" charset="0"/>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12700" cap="flat" cmpd="sng" algn="ctr">
                      <a:solidFill>
                        <a:schemeClr val="tx1"/>
                      </a:solidFill>
                      <a:prstDash val="solid"/>
                      <a:round/>
                    </a:ln>
                    <a:effectLst/>
                  </c:spPr>
                </c15:leaderLines>
              </c:ext>
            </c:extLst>
          </c:dLbls>
          <c:cat>
            <c:strRef>
              <c:f>Sheet1!$A$2:$A$3</c:f>
              <c:strCache>
                <c:ptCount val="2"/>
                <c:pt idx="0">
                  <c:v>公务用车购置及运行维护费支出</c:v>
                </c:pt>
                <c:pt idx="1">
                  <c:v>公务接待费支出</c:v>
                </c:pt>
              </c:strCache>
            </c:strRef>
          </c:cat>
          <c:val>
            <c:numRef>
              <c:f>Sheet1!$B$2:$B$3</c:f>
              <c:numCache>
                <c:formatCode>General</c:formatCode>
                <c:ptCount val="2"/>
                <c:pt idx="0">
                  <c:v>3.54</c:v>
                </c:pt>
                <c:pt idx="1">
                  <c:v>0.12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000" b="1" i="0" u="none" strike="noStrike" kern="1200" cap="none" spc="0" normalizeH="0" baseline="0">
                <a:solidFill>
                  <a:schemeClr val="tx1"/>
                </a:solidFill>
                <a:uFill>
                  <a:solidFill>
                    <a:schemeClr val="tx1">
                      <a:lumMod val="65000"/>
                      <a:lumOff val="35000"/>
                    </a:schemeClr>
                  </a:solidFill>
                </a:uFill>
                <a:latin typeface="+mn-lt"/>
                <a:ea typeface="仿宋" panose="02010609060101010101" charset="-122"/>
                <a:cs typeface="+mn-cs"/>
              </a:defRPr>
            </a:pPr>
          </a:p>
        </c:txPr>
      </c:legendEntry>
      <c:legendEntry>
        <c:idx val="1"/>
        <c:txPr>
          <a:bodyPr rot="0" spcFirstLastPara="0" vertOverflow="ellipsis" vert="horz" wrap="square" anchor="ctr" anchorCtr="1"/>
          <a:lstStyle/>
          <a:p>
            <a:pPr>
              <a:defRPr lang="zh-CN" sz="1000" b="1" i="0" u="none" strike="noStrike" kern="1200" cap="none" spc="0" normalizeH="0" baseline="0">
                <a:solidFill>
                  <a:schemeClr val="tx1"/>
                </a:solidFill>
                <a:uFill>
                  <a:solidFill>
                    <a:schemeClr val="tx1">
                      <a:lumMod val="65000"/>
                      <a:lumOff val="35000"/>
                    </a:schemeClr>
                  </a:solidFill>
                </a:uFill>
                <a:latin typeface="+mn-lt"/>
                <a:ea typeface="仿宋" panose="02010609060101010101" charset="-122"/>
                <a:cs typeface="+mn-cs"/>
              </a:defRPr>
            </a:pPr>
          </a:p>
        </c:txPr>
      </c:legendEntry>
      <c:layout/>
      <c:overlay val="0"/>
      <c:spPr>
        <a:noFill/>
        <a:ln>
          <a:noFill/>
        </a:ln>
        <a:effectLst/>
      </c:spPr>
      <c:txPr>
        <a:bodyPr rot="0" spcFirstLastPara="0" vertOverflow="ellipsis" vert="horz" wrap="square" anchor="ctr" anchorCtr="1"/>
        <a:lstStyle/>
        <a:p>
          <a:pPr>
            <a:defRPr lang="zh-CN" sz="1000" b="1" i="0" u="none" strike="noStrike" kern="1200" cap="none" spc="0" normalizeH="0" baseline="0">
              <a:solidFill>
                <a:schemeClr val="tx1"/>
              </a:solidFill>
              <a:uFill>
                <a:solidFill>
                  <a:schemeClr val="tx1">
                    <a:lumMod val="65000"/>
                    <a:lumOff val="35000"/>
                  </a:schemeClr>
                </a:solidFill>
              </a:uFill>
              <a:latin typeface="+mn-lt"/>
              <a:ea typeface="仿宋" panose="02010609060101010101" charset="-122"/>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27</Pages>
  <Words>9874</Words>
  <Characters>10733</Characters>
  <Lines>61</Lines>
  <Paragraphs>17</Paragraphs>
  <TotalTime>22</TotalTime>
  <ScaleCrop>false</ScaleCrop>
  <LinksUpToDate>false</LinksUpToDate>
  <CharactersWithSpaces>10782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86159</cp:lastModifiedBy>
  <cp:lastPrinted>2022-08-06T02:23:00Z</cp:lastPrinted>
  <dcterms:modified xsi:type="dcterms:W3CDTF">2023-10-26T08:47:32Z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38820159CF9342A5ACAF7BA4AA26872F</vt:lpwstr>
  </property>
</Properties>
</file>